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8477F">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557EEDF1">
      <w:pPr>
        <w:spacing w:before="120" w:after="120" w:line="240" w:lineRule="auto"/>
        <w:rPr>
          <w:rFonts w:cstheme="minorHAnsi"/>
          <w:bCs/>
        </w:rPr>
      </w:pPr>
      <w:r>
        <w:rPr>
          <w:rFonts w:cstheme="minorHAnsi"/>
          <w:bCs/>
        </w:rPr>
        <w:t>90051/2026</w:t>
      </w:r>
    </w:p>
    <w:p w14:paraId="66977EDC">
      <w:pPr>
        <w:spacing w:before="120" w:after="120" w:line="240" w:lineRule="auto"/>
        <w:rPr>
          <w:rFonts w:cstheme="minorHAnsi"/>
          <w:b/>
          <w:bCs/>
          <w:color w:val="405CA1"/>
        </w:rPr>
      </w:pPr>
    </w:p>
    <w:p w14:paraId="77837A2C">
      <w:pPr>
        <w:spacing w:before="120" w:after="120" w:line="240" w:lineRule="auto"/>
        <w:rPr>
          <w:rFonts w:cstheme="minorHAnsi"/>
          <w:b/>
          <w:bCs/>
          <w:color w:val="405CA1"/>
        </w:rPr>
      </w:pPr>
      <w:r>
        <w:rPr>
          <w:rFonts w:cstheme="minorHAnsi"/>
          <w:b/>
          <w:bCs/>
          <w:color w:val="405CA1"/>
        </w:rPr>
        <w:t>CONTRATANTE (UASG)</w:t>
      </w:r>
    </w:p>
    <w:p w14:paraId="4DD11275">
      <w:pPr>
        <w:spacing w:before="120" w:after="120" w:line="240" w:lineRule="auto"/>
        <w:rPr>
          <w:rFonts w:cstheme="minorHAnsi"/>
        </w:rPr>
      </w:pPr>
      <w:r>
        <w:rPr>
          <w:rFonts w:cstheme="minorHAnsi"/>
        </w:rPr>
        <w:t>150247</w:t>
      </w:r>
    </w:p>
    <w:p w14:paraId="0F7B0225">
      <w:pPr>
        <w:spacing w:before="120" w:after="120" w:line="240" w:lineRule="auto"/>
        <w:rPr>
          <w:rFonts w:cstheme="minorHAnsi"/>
          <w:b/>
          <w:bCs/>
          <w:color w:val="405CA1"/>
        </w:rPr>
      </w:pPr>
    </w:p>
    <w:p w14:paraId="72E74CF8">
      <w:pPr>
        <w:spacing w:before="120" w:after="120" w:line="240" w:lineRule="auto"/>
        <w:rPr>
          <w:rFonts w:cstheme="minorHAnsi"/>
          <w:b/>
          <w:bCs/>
          <w:color w:val="5B5B5F"/>
        </w:rPr>
      </w:pPr>
      <w:r>
        <w:rPr>
          <w:rFonts w:cstheme="minorHAnsi"/>
          <w:b/>
          <w:bCs/>
          <w:color w:val="405CA1"/>
        </w:rPr>
        <w:t>OBJETO</w:t>
      </w:r>
    </w:p>
    <w:p w14:paraId="5602587F">
      <w:pPr>
        <w:spacing w:before="120" w:after="120" w:line="240" w:lineRule="auto"/>
        <w:rPr>
          <w:rFonts w:cstheme="minorHAnsi"/>
        </w:rPr>
      </w:pPr>
      <w:r>
        <w:rPr>
          <w:rFonts w:cstheme="minorHAnsi"/>
          <w:b/>
          <w:bCs/>
        </w:rPr>
        <w:t>OPME</w:t>
      </w:r>
    </w:p>
    <w:p w14:paraId="3E6F9F77">
      <w:pPr>
        <w:spacing w:before="120" w:after="120" w:line="240" w:lineRule="auto"/>
        <w:rPr>
          <w:rFonts w:cstheme="minorHAnsi"/>
          <w:b/>
          <w:bCs/>
          <w:color w:val="405CA1"/>
        </w:rPr>
      </w:pPr>
      <w:r>
        <w:rPr>
          <w:rFonts w:cstheme="minorHAnsi"/>
          <w:b/>
          <w:bCs/>
          <w:color w:val="405CA1"/>
        </w:rPr>
        <w:t>VALOR TOTAL DA CONTRATAÇÃO</w:t>
      </w:r>
    </w:p>
    <w:p w14:paraId="061E810F">
      <w:pPr>
        <w:spacing w:before="120" w:after="120" w:line="240" w:lineRule="auto"/>
        <w:jc w:val="both"/>
        <w:rPr>
          <w:rFonts w:cstheme="minorHAnsi"/>
          <w:b/>
          <w:bCs/>
        </w:rPr>
      </w:pPr>
      <w:r>
        <w:rPr>
          <w:rFonts w:cstheme="minorHAnsi"/>
          <w:b/>
        </w:rPr>
        <w:t>R$ 7.383.662,74</w:t>
      </w:r>
    </w:p>
    <w:p w14:paraId="412F5CAC">
      <w:pPr>
        <w:spacing w:before="120" w:after="120" w:line="240" w:lineRule="auto"/>
        <w:jc w:val="both"/>
        <w:rPr>
          <w:rFonts w:cstheme="minorHAnsi"/>
          <w:b/>
          <w:bCs/>
        </w:rPr>
      </w:pPr>
    </w:p>
    <w:p w14:paraId="79785482">
      <w:pPr>
        <w:spacing w:before="120" w:after="120" w:line="240" w:lineRule="auto"/>
        <w:rPr>
          <w:rFonts w:cstheme="minorHAnsi"/>
          <w:b/>
          <w:bCs/>
          <w:color w:val="405CA1"/>
        </w:rPr>
      </w:pPr>
      <w:r>
        <w:rPr>
          <w:rFonts w:cstheme="minorHAnsi"/>
          <w:b/>
          <w:bCs/>
          <w:color w:val="405CA1"/>
        </w:rPr>
        <w:t>DATA DA SESSÃO PÚBLICA</w:t>
      </w:r>
    </w:p>
    <w:p w14:paraId="511522F5">
      <w:pPr>
        <w:spacing w:before="120" w:after="120" w:line="240" w:lineRule="auto"/>
        <w:jc w:val="both"/>
        <w:rPr>
          <w:rFonts w:cstheme="minorHAnsi"/>
        </w:rPr>
      </w:pPr>
      <w:r>
        <w:rPr>
          <w:rFonts w:cstheme="minorHAnsi"/>
        </w:rPr>
        <w:t xml:space="preserve">DIA </w:t>
      </w:r>
      <w:r>
        <w:rPr>
          <w:rFonts w:hint="default" w:cstheme="minorHAnsi"/>
          <w:lang w:val="pt-BR"/>
        </w:rPr>
        <w:t>01</w:t>
      </w:r>
      <w:r>
        <w:rPr>
          <w:rFonts w:cstheme="minorHAnsi"/>
        </w:rPr>
        <w:t>/</w:t>
      </w:r>
      <w:r>
        <w:rPr>
          <w:rFonts w:hint="default" w:cstheme="minorHAnsi"/>
          <w:lang w:val="pt-BR"/>
        </w:rPr>
        <w:t>07</w:t>
      </w:r>
      <w:r>
        <w:rPr>
          <w:rFonts w:cstheme="minorHAnsi"/>
        </w:rPr>
        <w:t>/</w:t>
      </w:r>
      <w:r>
        <w:rPr>
          <w:rFonts w:hint="default" w:cstheme="minorHAnsi"/>
          <w:lang w:val="pt-BR"/>
        </w:rPr>
        <w:t>2026</w:t>
      </w:r>
      <w:r>
        <w:rPr>
          <w:rFonts w:cstheme="minorHAnsi"/>
        </w:rPr>
        <w:t xml:space="preserve"> ÀS </w:t>
      </w:r>
      <w:r>
        <w:rPr>
          <w:rFonts w:hint="default" w:cstheme="minorHAnsi"/>
          <w:lang w:val="pt-BR"/>
        </w:rPr>
        <w:t>09:00</w:t>
      </w:r>
      <w:r>
        <w:rPr>
          <w:rFonts w:cstheme="minorHAnsi"/>
        </w:rPr>
        <w:t>H (HORÁRIO DE BRASÍLIA)</w:t>
      </w:r>
    </w:p>
    <w:p w14:paraId="1D1C686F">
      <w:pPr>
        <w:spacing w:before="120" w:after="120" w:line="240" w:lineRule="auto"/>
        <w:jc w:val="both"/>
        <w:rPr>
          <w:rFonts w:cstheme="minorHAnsi"/>
          <w:b/>
          <w:bCs/>
          <w:caps/>
          <w:color w:val="405CA1"/>
        </w:rPr>
      </w:pPr>
    </w:p>
    <w:p w14:paraId="17EB8D2F">
      <w:pPr>
        <w:spacing w:before="120" w:after="120" w:line="240" w:lineRule="auto"/>
        <w:jc w:val="both"/>
        <w:rPr>
          <w:rFonts w:cstheme="minorHAnsi"/>
          <w:caps/>
          <w:color w:val="0000FF"/>
        </w:rPr>
      </w:pPr>
      <w:r>
        <w:rPr>
          <w:rFonts w:cstheme="minorHAnsi"/>
          <w:b/>
          <w:bCs/>
          <w:caps/>
          <w:color w:val="405CA1"/>
        </w:rPr>
        <w:t>Critério de Julgamento:</w:t>
      </w:r>
    </w:p>
    <w:p w14:paraId="5FFE7023">
      <w:pPr>
        <w:spacing w:before="120" w:after="120" w:line="240" w:lineRule="auto"/>
        <w:jc w:val="both"/>
        <w:rPr>
          <w:rFonts w:cstheme="minorHAnsi"/>
        </w:rPr>
      </w:pPr>
      <w:r>
        <w:rPr>
          <w:rFonts w:cstheme="minorHAnsi"/>
        </w:rPr>
        <w:t>MENOR PREÇO POR ITEM</w:t>
      </w:r>
      <w:bookmarkStart w:id="143" w:name="_GoBack"/>
      <w:bookmarkEnd w:id="143"/>
    </w:p>
    <w:p w14:paraId="2E880F6A">
      <w:pPr>
        <w:spacing w:before="120" w:after="120" w:line="240" w:lineRule="auto"/>
        <w:jc w:val="both"/>
        <w:rPr>
          <w:rFonts w:cstheme="minorHAnsi"/>
          <w:b/>
          <w:bCs/>
          <w:caps/>
          <w:color w:val="405CA1"/>
        </w:rPr>
      </w:pPr>
    </w:p>
    <w:p w14:paraId="2F729E10">
      <w:pPr>
        <w:spacing w:before="120" w:after="120" w:line="240" w:lineRule="auto"/>
        <w:jc w:val="both"/>
        <w:rPr>
          <w:rFonts w:cstheme="minorHAnsi"/>
          <w:caps/>
        </w:rPr>
      </w:pPr>
      <w:r>
        <w:rPr>
          <w:rFonts w:cstheme="minorHAnsi"/>
          <w:b/>
          <w:bCs/>
          <w:caps/>
          <w:color w:val="405CA1"/>
        </w:rPr>
        <w:t>Modo de disputa:</w:t>
      </w:r>
    </w:p>
    <w:p w14:paraId="1F46333B">
      <w:pPr>
        <w:spacing w:before="120" w:after="120" w:line="240" w:lineRule="auto"/>
        <w:jc w:val="both"/>
        <w:rPr>
          <w:rFonts w:cstheme="minorHAnsi"/>
        </w:rPr>
      </w:pPr>
      <w:r>
        <w:rPr>
          <w:rFonts w:cstheme="minorHAnsi"/>
        </w:rPr>
        <w:t>ABERTO E FECHADO</w:t>
      </w:r>
    </w:p>
    <w:p w14:paraId="6C338DE6">
      <w:pPr>
        <w:spacing w:before="120" w:after="120" w:line="240" w:lineRule="auto"/>
        <w:rPr>
          <w:rFonts w:cstheme="minorHAnsi"/>
          <w:b/>
          <w:bCs/>
          <w:color w:val="405CA1"/>
        </w:rPr>
      </w:pPr>
    </w:p>
    <w:p w14:paraId="37A87804">
      <w:pPr>
        <w:spacing w:before="120" w:after="120" w:line="240" w:lineRule="auto"/>
        <w:rPr>
          <w:rFonts w:cstheme="minorHAnsi"/>
          <w:b/>
          <w:bCs/>
          <w:color w:val="405CA1"/>
        </w:rPr>
      </w:pPr>
      <w:r>
        <w:rPr>
          <w:rFonts w:cstheme="minorHAnsi"/>
          <w:b/>
          <w:bCs/>
          <w:color w:val="405CA1"/>
        </w:rPr>
        <w:t>PREFERÊNCIA ME/EPP/EQUIPARADAS</w:t>
      </w:r>
    </w:p>
    <w:p w14:paraId="15E7C4E5">
      <w:pPr>
        <w:spacing w:before="120" w:after="120" w:line="240" w:lineRule="auto"/>
        <w:rPr>
          <w:rFonts w:cstheme="minorHAnsi"/>
          <w:bCs/>
        </w:rPr>
      </w:pPr>
      <w:r>
        <w:rPr>
          <w:rFonts w:cstheme="minorHAnsi"/>
          <w:bCs/>
        </w:rPr>
        <w:t>SIM</w:t>
      </w:r>
    </w:p>
    <w:p w14:paraId="54168753">
      <w:pPr>
        <w:spacing w:before="120" w:after="120" w:line="240" w:lineRule="auto"/>
        <w:rPr>
          <w:rFonts w:cstheme="minorHAnsi"/>
          <w:bCs/>
        </w:rPr>
      </w:pPr>
    </w:p>
    <w:p w14:paraId="4EEE8F88">
      <w:pPr>
        <w:spacing w:before="120" w:after="120" w:line="240" w:lineRule="auto"/>
        <w:rPr>
          <w:rFonts w:cstheme="minorHAnsi"/>
          <w:b/>
          <w:bCs/>
          <w:color w:val="405CA1"/>
        </w:rPr>
      </w:pPr>
      <w:r>
        <w:rPr>
          <w:rFonts w:cstheme="minorHAnsi"/>
          <w:b/>
          <w:bCs/>
          <w:color w:val="405CA1"/>
        </w:rPr>
        <w:t>MARGEM DE PREFERÊNCIA PARA ALGUM ITEM</w:t>
      </w:r>
    </w:p>
    <w:p w14:paraId="0DDA0675">
      <w:pPr>
        <w:spacing w:before="120" w:after="120" w:line="240" w:lineRule="auto"/>
        <w:rPr>
          <w:rFonts w:cstheme="minorHAnsi"/>
          <w:bCs/>
        </w:rPr>
      </w:pPr>
      <w:r>
        <w:rPr>
          <w:rFonts w:cstheme="minorHAnsi"/>
          <w:bCs/>
        </w:rPr>
        <w:t>SIM</w:t>
      </w:r>
    </w:p>
    <w:p w14:paraId="4382A34B">
      <w:pPr>
        <w:spacing w:before="120" w:after="120" w:line="360" w:lineRule="auto"/>
        <w:rPr>
          <w:rFonts w:cstheme="minorHAnsi"/>
          <w:bCs/>
        </w:rPr>
      </w:pPr>
    </w:p>
    <w:p w14:paraId="5AA13636">
      <w:pPr>
        <w:spacing w:before="120" w:after="120" w:line="360" w:lineRule="auto"/>
        <w:rPr>
          <w:rFonts w:cstheme="minorHAnsi"/>
          <w:bCs/>
        </w:rPr>
      </w:pPr>
    </w:p>
    <w:p w14:paraId="59B423F6">
      <w:pPr>
        <w:spacing w:before="120" w:after="120" w:line="360" w:lineRule="auto"/>
        <w:rPr>
          <w:rFonts w:cstheme="minorHAnsi"/>
          <w:bCs/>
        </w:rPr>
      </w:pPr>
    </w:p>
    <w:p w14:paraId="7EB01DA1">
      <w:pPr>
        <w:spacing w:before="120" w:after="120" w:line="360" w:lineRule="auto"/>
        <w:rPr>
          <w:rFonts w:cstheme="minorHAnsi"/>
          <w:bCs/>
        </w:rPr>
      </w:pPr>
    </w:p>
    <w:p w14:paraId="73F597D8">
      <w:pPr>
        <w:spacing w:before="120" w:after="120" w:line="360" w:lineRule="auto"/>
        <w:rPr>
          <w:rFonts w:cstheme="minorHAnsi"/>
          <w:bCs/>
        </w:rPr>
      </w:pPr>
    </w:p>
    <w:p w14:paraId="05C26F62">
      <w:pPr>
        <w:spacing w:before="120" w:after="120" w:line="360" w:lineRule="auto"/>
        <w:rPr>
          <w:rFonts w:cstheme="minorHAnsi"/>
          <w:bCs/>
        </w:rPr>
      </w:pPr>
    </w:p>
    <w:p w14:paraId="579F7F21">
      <w:pPr>
        <w:spacing w:before="120" w:after="120" w:line="360" w:lineRule="auto"/>
        <w:rPr>
          <w:rFonts w:cstheme="minorHAnsi"/>
          <w:b/>
          <w:bCs/>
        </w:rPr>
      </w:pPr>
      <w:r>
        <w:rPr>
          <w:rFonts w:cstheme="minorHAnsi"/>
          <w:b/>
          <w:bCs/>
        </w:rPr>
        <w:t>SUMÁRIO</w:t>
      </w:r>
    </w:p>
    <w:p w14:paraId="2A217342">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69C367C3">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7AA6AEE2">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1544291F">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0539CF85">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15B75249">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33618D1E">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165C7AF7">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730A18B3">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407DD0BA">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3F3DA11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5587201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593A21B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3BD3261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214FACAD">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76DD6C63">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0E81E848">
      <w:pPr>
        <w:spacing w:before="288" w:beforeLines="120" w:after="288" w:afterLines="120" w:line="360" w:lineRule="auto"/>
        <w:ind w:firstLine="567"/>
        <w:jc w:val="center"/>
        <w:rPr>
          <w:rFonts w:cstheme="minorHAnsi"/>
          <w:b/>
          <w:color w:val="FF0000"/>
        </w:rPr>
      </w:pPr>
    </w:p>
    <w:p w14:paraId="5B276158">
      <w:pPr>
        <w:spacing w:before="288" w:beforeLines="120" w:after="288" w:afterLines="120" w:line="360" w:lineRule="auto"/>
        <w:ind w:firstLine="567"/>
        <w:jc w:val="center"/>
        <w:rPr>
          <w:rFonts w:cstheme="minorHAnsi"/>
          <w:b/>
          <w:color w:val="FF0000"/>
        </w:rPr>
      </w:pPr>
    </w:p>
    <w:p w14:paraId="707A8BB4">
      <w:pPr>
        <w:spacing w:before="288" w:beforeLines="120" w:after="288" w:afterLines="120" w:line="360" w:lineRule="auto"/>
        <w:ind w:firstLine="567"/>
        <w:jc w:val="center"/>
        <w:rPr>
          <w:rFonts w:cstheme="minorHAnsi"/>
          <w:b/>
          <w:color w:val="FF0000"/>
        </w:rPr>
      </w:pPr>
    </w:p>
    <w:p w14:paraId="6C31F4EE">
      <w:pPr>
        <w:spacing w:after="0" w:line="240" w:lineRule="auto"/>
        <w:ind w:firstLine="567"/>
        <w:jc w:val="center"/>
        <w:rPr>
          <w:rFonts w:cstheme="minorHAnsi"/>
          <w:b/>
          <w:bCs/>
          <w:color w:val="FF0000"/>
        </w:rPr>
      </w:pPr>
      <w:r>
        <w:rPr>
          <w:rFonts w:cstheme="minorHAnsi"/>
          <w:b/>
          <w:color w:val="FF0000"/>
        </w:rPr>
        <w:t>COMPLEXO HOSPITALAR E DE SAÚDE - UFBA</w:t>
      </w:r>
    </w:p>
    <w:p w14:paraId="29B2E923">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90051/2026</w:t>
      </w:r>
    </w:p>
    <w:p w14:paraId="5A4F9165">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23066.020312/2026-18</w:t>
      </w:r>
    </w:p>
    <w:p w14:paraId="6F941BC7">
      <w:pPr>
        <w:spacing w:after="0" w:line="240" w:lineRule="auto"/>
        <w:ind w:firstLine="567"/>
        <w:jc w:val="center"/>
        <w:rPr>
          <w:rFonts w:cstheme="minorHAnsi"/>
          <w:bCs/>
          <w:color w:val="000000"/>
        </w:rPr>
      </w:pPr>
    </w:p>
    <w:p w14:paraId="4780090B">
      <w:pPr>
        <w:spacing w:after="0" w:line="240" w:lineRule="auto"/>
        <w:ind w:firstLine="567"/>
        <w:jc w:val="center"/>
        <w:rPr>
          <w:rFonts w:cstheme="minorHAnsi"/>
          <w:bCs/>
          <w:color w:val="000000"/>
        </w:rPr>
      </w:pPr>
    </w:p>
    <w:p w14:paraId="3A70D236">
      <w:pPr>
        <w:spacing w:after="0" w:line="240" w:lineRule="auto"/>
        <w:ind w:firstLine="567"/>
        <w:jc w:val="center"/>
        <w:rPr>
          <w:rFonts w:cstheme="minorHAnsi"/>
          <w:bCs/>
          <w:color w:val="000000"/>
        </w:rPr>
      </w:pPr>
    </w:p>
    <w:p w14:paraId="1D506389">
      <w:pPr>
        <w:spacing w:after="0" w:line="240" w:lineRule="auto"/>
        <w:ind w:firstLine="567"/>
        <w:jc w:val="center"/>
        <w:rPr>
          <w:rFonts w:cstheme="minorHAnsi"/>
          <w:bCs/>
          <w:color w:val="000000"/>
        </w:rPr>
      </w:pPr>
    </w:p>
    <w:p w14:paraId="0B3E43AE">
      <w:pPr>
        <w:pStyle w:val="49"/>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7"/>
          <w:rFonts w:asciiTheme="minorHAnsi" w:hAnsiTheme="minorHAnsi" w:cstheme="minorHAnsi"/>
          <w:color w:val="FF0000"/>
        </w:rPr>
        <w:t>Rua Barão de Jeremoabo</w:t>
      </w:r>
      <w:r>
        <w:rPr>
          <w:rFonts w:asciiTheme="minorHAnsi" w:hAnsiTheme="minorHAnsi" w:cstheme="minorHAnsi"/>
          <w:color w:val="FF0000"/>
        </w:rPr>
        <w:t>,</w:t>
      </w:r>
      <w:r>
        <w:rPr>
          <w:rStyle w:val="46"/>
          <w:rFonts w:asciiTheme="minorHAnsi" w:hAnsiTheme="minorHAnsi" w:cstheme="minorHAnsi"/>
          <w:color w:val="FF0000"/>
        </w:rPr>
        <w:t> </w:t>
      </w:r>
      <w:r>
        <w:rPr>
          <w:rStyle w:val="47"/>
          <w:rFonts w:asciiTheme="minorHAnsi" w:hAnsiTheme="minorHAnsi" w:cstheme="minorHAnsi"/>
          <w:color w:val="FF0000"/>
        </w:rPr>
        <w:t>s/n</w:t>
      </w:r>
      <w:r>
        <w:rPr>
          <w:rStyle w:val="46"/>
          <w:rFonts w:asciiTheme="minorHAnsi" w:hAnsiTheme="minorHAnsi" w:cstheme="minorHAnsi"/>
          <w:color w:val="FF0000"/>
        </w:rPr>
        <w:t>,</w:t>
      </w:r>
      <w:r>
        <w:rPr>
          <w:rFonts w:asciiTheme="minorHAnsi" w:hAnsiTheme="minorHAnsi" w:cstheme="minorHAnsi"/>
          <w:color w:val="FF0000"/>
        </w:rPr>
        <w:t xml:space="preserve"> 1º andar,</w:t>
      </w:r>
      <w:r>
        <w:rPr>
          <w:rStyle w:val="47"/>
          <w:rFonts w:asciiTheme="minorHAnsi" w:hAnsiTheme="minorHAnsi" w:cstheme="minorHAnsi"/>
          <w:color w:val="FF0000"/>
        </w:rPr>
        <w:t xml:space="preserve"> Ondina</w:t>
      </w:r>
      <w:r>
        <w:rPr>
          <w:rFonts w:asciiTheme="minorHAnsi" w:hAnsiTheme="minorHAnsi" w:cstheme="minorHAnsi"/>
          <w:color w:val="FF0000"/>
        </w:rPr>
        <w:t>,</w:t>
      </w:r>
      <w:r>
        <w:rPr>
          <w:rStyle w:val="46"/>
          <w:rFonts w:asciiTheme="minorHAnsi" w:hAnsiTheme="minorHAnsi" w:cstheme="minorHAnsi"/>
          <w:color w:val="FF0000"/>
        </w:rPr>
        <w:t xml:space="preserve"> CEP: </w:t>
      </w:r>
      <w:r>
        <w:rPr>
          <w:rStyle w:val="47"/>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6C9764F6">
      <w:pPr>
        <w:pStyle w:val="49"/>
        <w:spacing w:line="360" w:lineRule="auto"/>
        <w:rPr>
          <w:rFonts w:asciiTheme="minorHAnsi" w:hAnsiTheme="minorHAnsi" w:cstheme="minorHAnsi"/>
        </w:rPr>
      </w:pPr>
    </w:p>
    <w:p w14:paraId="2F626EEE">
      <w:pPr>
        <w:pStyle w:val="72"/>
        <w:numPr>
          <w:ilvl w:val="0"/>
          <w:numId w:val="7"/>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3E21B46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a aquisição </w:t>
      </w:r>
      <w:r>
        <w:rPr>
          <w:rFonts w:asciiTheme="minorHAnsi" w:hAnsiTheme="minorHAnsi" w:cstheme="minorHAnsi"/>
          <w:b/>
          <w:bCs/>
          <w:color w:val="FF0000"/>
        </w:rPr>
        <w:t>OPME</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5D2EA863">
      <w:pPr>
        <w:pStyle w:val="49"/>
        <w:numPr>
          <w:ilvl w:val="1"/>
          <w:numId w:val="7"/>
        </w:numPr>
        <w:spacing w:line="360" w:lineRule="auto"/>
        <w:ind w:left="0" w:firstLine="0"/>
        <w:rPr>
          <w:rFonts w:asciiTheme="minorHAnsi" w:hAnsiTheme="minorHAnsi" w:cstheme="minorHAnsi"/>
        </w:rPr>
      </w:pPr>
      <w:bookmarkStart w:id="2" w:name="_Toc193719191"/>
      <w:bookmarkStart w:id="3" w:name="_Toc135469196"/>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2B51C405">
      <w:pPr>
        <w:pStyle w:val="72"/>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220CDCF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251E9A00">
      <w:pPr>
        <w:pStyle w:val="72"/>
        <w:numPr>
          <w:ilvl w:val="0"/>
          <w:numId w:val="7"/>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2FC3D270">
      <w:pPr>
        <w:pStyle w:val="49"/>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4AA6EC9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212C178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1457F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335253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7DAFDBB0">
      <w:pPr>
        <w:pStyle w:val="49"/>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7F862264">
      <w:pPr>
        <w:pStyle w:val="50"/>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645A3BA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18BAF42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4BD692A1">
      <w:pPr>
        <w:pStyle w:val="50"/>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4F7F8A40">
      <w:pPr>
        <w:pStyle w:val="50"/>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205AC0CE">
      <w:pPr>
        <w:pStyle w:val="50"/>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0EC1105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D29BFEE">
      <w:pPr>
        <w:pStyle w:val="50"/>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4B789B3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88F52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207A4B80">
      <w:pPr>
        <w:pStyle w:val="49"/>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5A4CF57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6943CA5">
      <w:pPr>
        <w:pStyle w:val="49"/>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35163DA3">
      <w:pPr>
        <w:pStyle w:val="49"/>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2073A06F">
      <w:pPr>
        <w:pStyle w:val="49"/>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C1401B2">
      <w:pPr>
        <w:pStyle w:val="49"/>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6817D5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70B3188E">
      <w:pPr>
        <w:pStyle w:val="72"/>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3E5689B4">
      <w:pPr>
        <w:pStyle w:val="56"/>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2B09B20D">
      <w:pPr>
        <w:pStyle w:val="72"/>
        <w:numPr>
          <w:ilvl w:val="0"/>
          <w:numId w:val="7"/>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0A8FE696">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03B2A8AE">
      <w:pPr>
        <w:pStyle w:val="49"/>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09C10E73">
      <w:pPr>
        <w:pStyle w:val="49"/>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419F2BD1">
      <w:pPr>
        <w:pStyle w:val="49"/>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45927E34">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3CDA27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0FA356D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0F14211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14BA7DC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1BCC8D93">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54BE1E0E">
      <w:pPr>
        <w:pStyle w:val="49"/>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5E35E32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001E9C7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ADEA48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62F5218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7AD3336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0BB7D0B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991431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363F541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6C9284E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38B034C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2732B8B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3B70B7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1B5A404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09168ED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6600ECD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5F377E4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4127E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C3E08F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7C5E4439">
      <w:pPr>
        <w:pStyle w:val="49"/>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0BBFE69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6B5989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34CCC6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546848C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57D6CCC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4BCE9BD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1F9E737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7F25D2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4A73D903">
      <w:pPr>
        <w:pStyle w:val="72"/>
        <w:numPr>
          <w:ilvl w:val="0"/>
          <w:numId w:val="7"/>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5904E994">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23F929ED">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3A8A3AD3">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1F23E884">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36B87E8C">
      <w:pPr>
        <w:pStyle w:val="50"/>
        <w:numPr>
          <w:ilvl w:val="2"/>
          <w:numId w:val="8"/>
        </w:numPr>
        <w:tabs>
          <w:tab w:val="clear" w:pos="360"/>
        </w:tabs>
        <w:spacing w:line="360" w:lineRule="auto"/>
        <w:ind w:left="284" w:firstLine="0"/>
        <w:rPr>
          <w:rFonts w:asciiTheme="minorHAnsi" w:hAnsiTheme="minorHAnsi" w:cstheme="minorHAnsi"/>
          <w:color w:val="auto"/>
          <w:highlight w:val="cyan"/>
        </w:rPr>
      </w:pPr>
      <w:r>
        <w:rPr>
          <w:rStyle w:val="81"/>
          <w:rFonts w:asciiTheme="minorHAnsi" w:hAnsiTheme="minorHAnsi" w:cstheme="minorHAnsi"/>
          <w:color w:val="FF0000"/>
          <w:highlight w:val="cyan"/>
        </w:rPr>
        <w:t>Quantidade cotada, devendo respeitar o mínimo de ......</w:t>
      </w:r>
    </w:p>
    <w:p w14:paraId="7077CB7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35F7EB7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07699C4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16C1754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0CDFF34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6A7A782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0AE5F40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4ECD43B5">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081D7FA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51385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1BE4451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7DA517E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7959EEA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6608AFEC">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3A0F2CB">
      <w:pPr>
        <w:pStyle w:val="72"/>
        <w:numPr>
          <w:ilvl w:val="0"/>
          <w:numId w:val="7"/>
        </w:numPr>
        <w:spacing w:line="360" w:lineRule="auto"/>
        <w:rPr>
          <w:rFonts w:asciiTheme="minorHAnsi" w:hAnsiTheme="minorHAnsi" w:cstheme="minorHAnsi"/>
          <w:sz w:val="22"/>
          <w:szCs w:val="22"/>
        </w:rPr>
      </w:pPr>
      <w:bookmarkStart w:id="30" w:name="_Toc193719196"/>
      <w:bookmarkStart w:id="31" w:name="_Toc135469200"/>
      <w:r>
        <w:rPr>
          <w:rFonts w:asciiTheme="minorHAnsi" w:hAnsiTheme="minorHAnsi" w:cstheme="minorHAnsi"/>
          <w:sz w:val="22"/>
          <w:szCs w:val="22"/>
        </w:rPr>
        <w:t>DA ABERTURA DA SESSÃO, CLASSIFICAÇÃO DAS PROPOSTAS E FORMULAÇÃO DE LANCES</w:t>
      </w:r>
      <w:bookmarkEnd w:id="30"/>
      <w:bookmarkEnd w:id="31"/>
    </w:p>
    <w:p w14:paraId="01F9F3FB">
      <w:pPr>
        <w:pStyle w:val="49"/>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56C754D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507C0D5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7E58F7F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27934F6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5AE99C8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7987C90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341A2BF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3A34628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E76907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17387F5F">
      <w:pPr>
        <w:pStyle w:val="49"/>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3"/>
    <w:p w14:paraId="1E850CEF">
      <w:pPr>
        <w:pStyle w:val="50"/>
        <w:numPr>
          <w:ilvl w:val="2"/>
          <w:numId w:val="8"/>
        </w:numPr>
        <w:tabs>
          <w:tab w:val="clear" w:pos="360"/>
        </w:tabs>
        <w:spacing w:line="360" w:lineRule="auto"/>
        <w:ind w:left="284" w:firstLine="0"/>
        <w:rPr>
          <w:rFonts w:asciiTheme="minorHAnsi" w:hAnsiTheme="minorHAnsi" w:cstheme="minorHAnsi"/>
        </w:rPr>
      </w:pPr>
      <w:bookmarkStart w:id="34"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3F8637F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0B0CA40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6758F06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F328F4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4"/>
      <w:bookmarkStart w:id="35" w:name="_Hlk113631522"/>
    </w:p>
    <w:bookmarkEnd w:id="35"/>
    <w:p w14:paraId="5074D68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7DCABEE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5D69B7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188616A">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089BE79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1655BCD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FCD3E32">
      <w:pPr>
        <w:pStyle w:val="50"/>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bookmarkEnd w:id="36"/>
    <w:p w14:paraId="101460F0">
      <w:pPr>
        <w:pStyle w:val="49"/>
        <w:numPr>
          <w:ilvl w:val="1"/>
          <w:numId w:val="7"/>
        </w:numPr>
        <w:spacing w:line="360" w:lineRule="auto"/>
        <w:ind w:left="0" w:firstLine="0"/>
        <w:rPr>
          <w:rFonts w:asciiTheme="minorHAnsi" w:hAnsiTheme="minorHAnsi" w:cstheme="minorHAnsi"/>
        </w:rPr>
      </w:pPr>
      <w:bookmarkStart w:id="37"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275B1D84">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7B46FDE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4AA0BF2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65AC83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08DA0DD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3F0C47E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4CA9C7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2B15363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2E3ACDB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2E40BCC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7B90459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34B060B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1C8A181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3821A944">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3FD36B10">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291E046">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04D7F53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551941A8">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881766C">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2590908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22D2237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4F68F6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712FCBF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BBEFA4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7AF09B1">
      <w:pPr>
        <w:pStyle w:val="49"/>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49C8FE1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002FD84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4DB597F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3DB93A9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5D270B5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7E46B71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68614BE0">
      <w:pPr>
        <w:pStyle w:val="50"/>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773D172">
      <w:pPr>
        <w:pStyle w:val="50"/>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4C1F21C8">
      <w:pPr>
        <w:pStyle w:val="50"/>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6533D078">
      <w:pPr>
        <w:pStyle w:val="50"/>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43B4AEB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0179025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17F18CC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DB6D35">
      <w:pPr>
        <w:pStyle w:val="50"/>
        <w:numPr>
          <w:ilvl w:val="2"/>
          <w:numId w:val="8"/>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4439523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76AE846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668252FE">
      <w:pPr>
        <w:pStyle w:val="50"/>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094F37EA">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6CAD94F1">
      <w:pPr>
        <w:pStyle w:val="49"/>
        <w:spacing w:line="360" w:lineRule="auto"/>
        <w:rPr>
          <w:rFonts w:eastAsia="Times New Roman" w:asciiTheme="minorHAnsi" w:hAnsiTheme="minorHAnsi" w:cstheme="minorHAnsi"/>
        </w:rPr>
      </w:pPr>
    </w:p>
    <w:p w14:paraId="1E7BA996">
      <w:pPr>
        <w:pStyle w:val="72"/>
        <w:numPr>
          <w:ilvl w:val="0"/>
          <w:numId w:val="7"/>
        </w:numPr>
        <w:spacing w:before="0" w:beforeLines="0" w:after="0" w:afterLines="0" w:line="360" w:lineRule="auto"/>
        <w:rPr>
          <w:rFonts w:asciiTheme="minorHAnsi" w:hAnsiTheme="minorHAnsi" w:cstheme="minorHAnsi"/>
          <w:sz w:val="22"/>
          <w:szCs w:val="22"/>
        </w:rPr>
      </w:pPr>
      <w:bookmarkStart w:id="43" w:name="_Toc193719197"/>
      <w:bookmarkStart w:id="44" w:name="_Toc135469201"/>
      <w:r>
        <w:rPr>
          <w:rFonts w:asciiTheme="minorHAnsi" w:hAnsiTheme="minorHAnsi" w:cstheme="minorHAnsi"/>
          <w:sz w:val="22"/>
          <w:szCs w:val="22"/>
        </w:rPr>
        <w:t>DA FASE DE JULGAMENTO</w:t>
      </w:r>
      <w:bookmarkEnd w:id="43"/>
      <w:bookmarkEnd w:id="44"/>
    </w:p>
    <w:p w14:paraId="27265705">
      <w:pPr>
        <w:pStyle w:val="49"/>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22166DD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27D0521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1BAA638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19F41BB3">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1AEED5F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15FB460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5084838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17B120F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0BE2B1EA">
      <w:pPr>
        <w:pStyle w:val="49"/>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43D4CFF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14C9636E">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260EA64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5CCD7BA">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5F6F713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729B726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2544190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527FF46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51B4694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57D333B5">
      <w:pPr>
        <w:pStyle w:val="49"/>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66D5422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5458996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6415339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70DA1E2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4D87E3FF">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106EFBF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2B2BDCD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2A8CBE5F">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4EC51B36">
      <w:pPr>
        <w:pStyle w:val="49"/>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7184DF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2C588D5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5D05D64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7B6C2E8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8C7BDB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748FCBA">
      <w:pPr>
        <w:pStyle w:val="72"/>
        <w:numPr>
          <w:ilvl w:val="0"/>
          <w:numId w:val="7"/>
        </w:numPr>
        <w:spacing w:before="0" w:beforeLines="0" w:after="0" w:afterLines="0" w:line="360" w:lineRule="auto"/>
        <w:rPr>
          <w:rFonts w:asciiTheme="minorHAnsi" w:hAnsiTheme="minorHAnsi" w:cstheme="minorHAnsi"/>
          <w:sz w:val="22"/>
          <w:szCs w:val="22"/>
        </w:rPr>
      </w:pPr>
      <w:bookmarkStart w:id="48" w:name="_Toc193719198"/>
      <w:bookmarkStart w:id="49" w:name="_Toc135469202"/>
      <w:r>
        <w:rPr>
          <w:rFonts w:asciiTheme="minorHAnsi" w:hAnsiTheme="minorHAnsi" w:cstheme="minorHAnsi"/>
          <w:sz w:val="22"/>
          <w:szCs w:val="22"/>
        </w:rPr>
        <w:t>DA FASE DE HABILITAÇÃO</w:t>
      </w:r>
      <w:bookmarkEnd w:id="48"/>
      <w:bookmarkEnd w:id="49"/>
    </w:p>
    <w:p w14:paraId="2638C74D">
      <w:pPr>
        <w:pStyle w:val="49"/>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63312969">
      <w:pPr>
        <w:pStyle w:val="50"/>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19C06C44">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57A93A96">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1AD52318">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2B0FB1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0C8B46C5">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0CA4E2F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47AD446B">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46272">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E5EF76">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68ED460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144A4C1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9F2735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3F418AC3">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1C5FDE10">
      <w:pPr>
        <w:pStyle w:val="50"/>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381F2610">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7224658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0D30D63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4768429">
      <w:pPr>
        <w:pStyle w:val="49"/>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149E9637">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07F1B51B">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23D53055">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05D6182C">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6EE207D8">
      <w:pPr>
        <w:pStyle w:val="49"/>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2"/>
    <w:p w14:paraId="6E55D2FC">
      <w:pPr>
        <w:pStyle w:val="49"/>
        <w:numPr>
          <w:ilvl w:val="1"/>
          <w:numId w:val="7"/>
        </w:numPr>
        <w:spacing w:line="360" w:lineRule="auto"/>
        <w:ind w:left="0" w:firstLine="0"/>
        <w:rPr>
          <w:rFonts w:asciiTheme="minorHAnsi" w:hAnsiTheme="minorHAnsi" w:cstheme="minorHAnsi"/>
        </w:rPr>
      </w:pPr>
      <w:bookmarkStart w:id="53"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30BCACE6">
      <w:pPr>
        <w:pStyle w:val="49"/>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4AA70070">
      <w:pPr>
        <w:pStyle w:val="49"/>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5104DA7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748AF1B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41287693">
      <w:pPr>
        <w:pStyle w:val="72"/>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6D1407C9">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5D342560">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7"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7"/>
    </w:p>
    <w:p w14:paraId="3178A21F">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8"/>
    </w:p>
    <w:p w14:paraId="512EE62E">
      <w:pPr>
        <w:pStyle w:val="49"/>
        <w:numPr>
          <w:ilvl w:val="1"/>
          <w:numId w:val="7"/>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2DEB31D1">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096337A9">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338249EF">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772914A6">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62DE1CB4">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38FF45B0">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1A113B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691D949F">
      <w:pPr>
        <w:pStyle w:val="72"/>
        <w:numPr>
          <w:ilvl w:val="0"/>
          <w:numId w:val="7"/>
        </w:numPr>
        <w:spacing w:line="360" w:lineRule="auto"/>
        <w:rPr>
          <w:rFonts w:asciiTheme="minorHAnsi" w:hAnsiTheme="minorHAnsi" w:cstheme="minorHAnsi"/>
          <w:sz w:val="22"/>
          <w:szCs w:val="22"/>
          <w:highlight w:val="cyan"/>
        </w:rPr>
      </w:pPr>
      <w:bookmarkStart w:id="59" w:name="_Toc135469203"/>
      <w:bookmarkStart w:id="60" w:name="_Toc193719200"/>
      <w:r>
        <w:rPr>
          <w:rFonts w:asciiTheme="minorHAnsi" w:hAnsiTheme="minorHAnsi" w:cstheme="minorHAnsi"/>
          <w:sz w:val="22"/>
          <w:szCs w:val="22"/>
          <w:highlight w:val="cyan"/>
        </w:rPr>
        <w:t>DA ATA DE REGISTRO DE PREÇOS</w:t>
      </w:r>
      <w:bookmarkEnd w:id="59"/>
      <w:bookmarkEnd w:id="60"/>
    </w:p>
    <w:p w14:paraId="0EAA003B">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3CB28437">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0B7ACD1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587569EE">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13285D81">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2CDF8511">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0C406FC5">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2304FEF8">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B546553">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CFA6B9C">
      <w:pPr>
        <w:pStyle w:val="49"/>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7FB47F38">
      <w:pPr>
        <w:pStyle w:val="50"/>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6CFDDED8">
      <w:pPr>
        <w:pStyle w:val="50"/>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0C754C90">
      <w:pPr>
        <w:pStyle w:val="72"/>
        <w:numPr>
          <w:ilvl w:val="0"/>
          <w:numId w:val="7"/>
        </w:numPr>
        <w:spacing w:line="360" w:lineRule="auto"/>
        <w:rPr>
          <w:rFonts w:asciiTheme="minorHAnsi" w:hAnsiTheme="minorHAnsi" w:cstheme="minorHAnsi"/>
          <w:sz w:val="22"/>
          <w:szCs w:val="22"/>
          <w:highlight w:val="cyan"/>
        </w:rPr>
      </w:pPr>
      <w:bookmarkStart w:id="61" w:name="_Toc135469204"/>
      <w:bookmarkStart w:id="62" w:name="_Toc193719201"/>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1991B446">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55FD8538">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7B847A9F">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3172BB57">
      <w:pPr>
        <w:pStyle w:val="49"/>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095DE672">
      <w:pPr>
        <w:pStyle w:val="50"/>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2DF74F0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39159474">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69DECBCD">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313A45A2">
      <w:pPr>
        <w:pStyle w:val="50"/>
        <w:numPr>
          <w:ilvl w:val="2"/>
          <w:numId w:val="8"/>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43A3E4AC">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3B183D2">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4349C9D9">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3A7AA665">
      <w:pPr>
        <w:pStyle w:val="72"/>
        <w:numPr>
          <w:ilvl w:val="0"/>
          <w:numId w:val="7"/>
        </w:numPr>
        <w:spacing w:line="360" w:lineRule="auto"/>
        <w:rPr>
          <w:rFonts w:asciiTheme="minorHAnsi" w:hAnsiTheme="minorHAnsi" w:cstheme="minorHAnsi"/>
          <w:sz w:val="22"/>
          <w:szCs w:val="22"/>
        </w:rPr>
      </w:pPr>
      <w:bookmarkStart w:id="65" w:name="_Toc135469205"/>
      <w:bookmarkStart w:id="66" w:name="_Toc193719202"/>
      <w:r>
        <w:rPr>
          <w:rFonts w:asciiTheme="minorHAnsi" w:hAnsiTheme="minorHAnsi" w:cstheme="minorHAnsi"/>
          <w:sz w:val="22"/>
          <w:szCs w:val="22"/>
        </w:rPr>
        <w:t>DOS RECURSOS</w:t>
      </w:r>
      <w:bookmarkEnd w:id="65"/>
      <w:bookmarkEnd w:id="66"/>
    </w:p>
    <w:p w14:paraId="0709EB2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0604D0F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6A23327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434E27C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18BA6109">
      <w:pPr>
        <w:pStyle w:val="50"/>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2AD2DC1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281F0D1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602FBD7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5DBCB6A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412F8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79D7F45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AC0E6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7F43DAF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28B26CA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785D2C9F">
      <w:pPr>
        <w:pStyle w:val="49"/>
        <w:spacing w:line="360" w:lineRule="auto"/>
        <w:rPr>
          <w:rFonts w:asciiTheme="minorHAnsi" w:hAnsiTheme="minorHAnsi" w:cstheme="minorHAnsi"/>
        </w:rPr>
      </w:pPr>
    </w:p>
    <w:p w14:paraId="6DE348B3">
      <w:pPr>
        <w:pStyle w:val="72"/>
        <w:numPr>
          <w:ilvl w:val="0"/>
          <w:numId w:val="7"/>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41F3794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4C925163">
      <w:pPr>
        <w:pStyle w:val="50"/>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445F064F">
      <w:pPr>
        <w:pStyle w:val="50"/>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0031EFF6">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7711D95E">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1A9E1F0A">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7F589D3E">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53DB68E2">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7A083902">
      <w:pPr>
        <w:pStyle w:val="50"/>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51BC1616">
      <w:pPr>
        <w:pStyle w:val="50"/>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5CDD4BB5">
      <w:pPr>
        <w:pStyle w:val="50"/>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6255C54A">
      <w:pPr>
        <w:pStyle w:val="50"/>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1DE2FB10">
      <w:pPr>
        <w:pStyle w:val="50"/>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7A0051DE">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630E6143">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4C08C88F">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6305BBA6">
      <w:pPr>
        <w:pStyle w:val="50"/>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5B6A2514">
      <w:pPr>
        <w:pStyle w:val="50"/>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1001B5C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6D3DD91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21173CE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3D70DED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3DADE3C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67472E6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64868B8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24774DA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706DD11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1836AA5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08D7B38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38EEE20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2F6E750D">
      <w:pPr>
        <w:pStyle w:val="50"/>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1"/>
    <w:p w14:paraId="664EBDED">
      <w:pPr>
        <w:pStyle w:val="50"/>
        <w:numPr>
          <w:ilvl w:val="2"/>
          <w:numId w:val="8"/>
        </w:numPr>
        <w:tabs>
          <w:tab w:val="clear" w:pos="360"/>
        </w:tabs>
        <w:spacing w:line="360" w:lineRule="auto"/>
        <w:ind w:left="284" w:firstLine="0"/>
        <w:rPr>
          <w:rFonts w:asciiTheme="minorHAnsi" w:hAnsiTheme="minorHAnsi" w:cstheme="minorHAnsi"/>
        </w:rPr>
      </w:pPr>
      <w:bookmarkStart w:id="82"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485286F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69906C6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78A41919">
      <w:pPr>
        <w:pStyle w:val="49"/>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35C10B7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15CF4D1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71DFED6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66D141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17E1F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A904F1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20FCEF9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11A9B36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5D6804F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3E8DDACE">
      <w:pPr>
        <w:pStyle w:val="72"/>
        <w:numPr>
          <w:ilvl w:val="0"/>
          <w:numId w:val="7"/>
        </w:numPr>
        <w:spacing w:line="360" w:lineRule="auto"/>
        <w:rPr>
          <w:rFonts w:asciiTheme="minorHAnsi" w:hAnsiTheme="minorHAnsi" w:cstheme="minorHAnsi"/>
          <w:sz w:val="22"/>
          <w:szCs w:val="22"/>
        </w:rPr>
      </w:pPr>
      <w:bookmarkStart w:id="84" w:name="_Toc193719204"/>
      <w:bookmarkStart w:id="85" w:name="_Toc135469207"/>
      <w:r>
        <w:rPr>
          <w:rFonts w:asciiTheme="minorHAnsi" w:hAnsiTheme="minorHAnsi" w:cstheme="minorHAnsi"/>
          <w:sz w:val="22"/>
          <w:szCs w:val="22"/>
        </w:rPr>
        <w:t>DA IMPUGNAÇÃO AO EDITAL E DO PEDIDO DE ESCLARECIMENTO</w:t>
      </w:r>
      <w:bookmarkEnd w:id="84"/>
      <w:bookmarkEnd w:id="85"/>
    </w:p>
    <w:p w14:paraId="0A59E24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786A1A0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61E4331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4F51769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3C9797E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3797991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79E3F46C">
      <w:pPr>
        <w:pStyle w:val="72"/>
        <w:numPr>
          <w:ilvl w:val="0"/>
          <w:numId w:val="7"/>
        </w:numPr>
        <w:spacing w:line="360" w:lineRule="auto"/>
        <w:rPr>
          <w:rFonts w:asciiTheme="minorHAnsi" w:hAnsiTheme="minorHAnsi" w:cstheme="minorHAnsi"/>
          <w:sz w:val="22"/>
          <w:szCs w:val="22"/>
        </w:rPr>
      </w:pPr>
      <w:bookmarkStart w:id="86" w:name="_Toc193719205"/>
      <w:bookmarkStart w:id="87" w:name="_Toc135469208"/>
      <w:r>
        <w:rPr>
          <w:rFonts w:asciiTheme="minorHAnsi" w:hAnsiTheme="minorHAnsi" w:cstheme="minorHAnsi"/>
          <w:sz w:val="22"/>
          <w:szCs w:val="22"/>
        </w:rPr>
        <w:t>DAS DISPOSIÇÕES GERAIS</w:t>
      </w:r>
      <w:bookmarkEnd w:id="86"/>
      <w:bookmarkEnd w:id="87"/>
    </w:p>
    <w:p w14:paraId="5920D005">
      <w:pPr>
        <w:pStyle w:val="49"/>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094E613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1D3EB1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5F439D9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2B43F2B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2314B6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576ABC1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2FA156D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7C0888E9">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4EC10F4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74091B73">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66B83A4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0828BE40">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57E79EE7">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7379775E">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3A88A3BF">
      <w:pPr>
        <w:pStyle w:val="53"/>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65107797">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7D0A4CFE">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25 de maio de 2026</w:t>
      </w:r>
    </w:p>
    <w:p w14:paraId="59AE234D">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445AA304">
      <w:pPr>
        <w:spacing w:after="0" w:line="360" w:lineRule="auto"/>
        <w:ind w:right="140"/>
        <w:jc w:val="center"/>
        <w:rPr>
          <w:rFonts w:cstheme="minorHAnsi"/>
          <w:b/>
          <w:u w:val="single"/>
          <w:lang w:eastAsia="ar-SA"/>
        </w:rPr>
      </w:pPr>
      <w:bookmarkStart w:id="89" w:name="_Hlk82471863"/>
    </w:p>
    <w:p w14:paraId="3CD60EE5">
      <w:pPr>
        <w:spacing w:after="0" w:line="360" w:lineRule="auto"/>
        <w:ind w:right="140"/>
        <w:jc w:val="center"/>
        <w:rPr>
          <w:rFonts w:cstheme="minorHAnsi"/>
          <w:b/>
          <w:u w:val="single"/>
          <w:lang w:eastAsia="ar-SA"/>
        </w:rPr>
      </w:pPr>
    </w:p>
    <w:p w14:paraId="78ADDD2E">
      <w:pPr>
        <w:spacing w:after="0" w:line="360" w:lineRule="auto"/>
        <w:ind w:right="140"/>
        <w:jc w:val="center"/>
        <w:rPr>
          <w:rFonts w:cstheme="minorHAnsi"/>
          <w:b/>
          <w:u w:val="single"/>
          <w:lang w:eastAsia="ar-SA"/>
        </w:rPr>
      </w:pPr>
    </w:p>
    <w:p w14:paraId="43F4FCD9">
      <w:pPr>
        <w:spacing w:after="0" w:line="360" w:lineRule="auto"/>
        <w:ind w:right="140"/>
        <w:jc w:val="center"/>
        <w:rPr>
          <w:rFonts w:cstheme="minorHAnsi"/>
          <w:b/>
          <w:u w:val="single"/>
          <w:lang w:eastAsia="ar-SA"/>
        </w:rPr>
      </w:pPr>
    </w:p>
    <w:p w14:paraId="4385C740">
      <w:pPr>
        <w:spacing w:after="0" w:line="360" w:lineRule="auto"/>
        <w:ind w:right="140"/>
        <w:jc w:val="center"/>
        <w:rPr>
          <w:rFonts w:cstheme="minorHAnsi"/>
          <w:b/>
          <w:u w:val="single"/>
          <w:lang w:eastAsia="ar-SA"/>
        </w:rPr>
      </w:pPr>
    </w:p>
    <w:p w14:paraId="38F52F94">
      <w:pPr>
        <w:spacing w:after="0" w:line="360" w:lineRule="auto"/>
        <w:ind w:right="140"/>
        <w:jc w:val="center"/>
        <w:rPr>
          <w:rFonts w:cstheme="minorHAnsi"/>
          <w:b/>
          <w:u w:val="single"/>
          <w:lang w:eastAsia="ar-SA"/>
        </w:rPr>
      </w:pPr>
    </w:p>
    <w:p w14:paraId="3FE5C948">
      <w:pPr>
        <w:spacing w:after="0" w:line="360" w:lineRule="auto"/>
        <w:ind w:right="140"/>
        <w:jc w:val="center"/>
        <w:rPr>
          <w:rFonts w:cstheme="minorHAnsi"/>
          <w:b/>
          <w:u w:val="single"/>
          <w:lang w:eastAsia="ar-SA"/>
        </w:rPr>
      </w:pPr>
    </w:p>
    <w:p w14:paraId="6FC577F8">
      <w:pPr>
        <w:spacing w:after="0" w:line="360" w:lineRule="auto"/>
        <w:ind w:right="140"/>
        <w:jc w:val="center"/>
        <w:rPr>
          <w:rFonts w:cstheme="minorHAnsi"/>
          <w:b/>
          <w:u w:val="single"/>
          <w:lang w:eastAsia="ar-SA"/>
        </w:rPr>
      </w:pPr>
    </w:p>
    <w:p w14:paraId="05DB6D0A">
      <w:pPr>
        <w:spacing w:after="0" w:line="360" w:lineRule="auto"/>
        <w:ind w:right="140"/>
        <w:jc w:val="center"/>
        <w:rPr>
          <w:rFonts w:cstheme="minorHAnsi"/>
          <w:b/>
          <w:u w:val="single"/>
          <w:lang w:eastAsia="ar-SA"/>
        </w:rPr>
      </w:pPr>
    </w:p>
    <w:p w14:paraId="2A5BB7FC">
      <w:pPr>
        <w:spacing w:after="0" w:line="360" w:lineRule="auto"/>
        <w:ind w:right="140"/>
        <w:jc w:val="center"/>
        <w:rPr>
          <w:rFonts w:cstheme="minorHAnsi"/>
          <w:b/>
          <w:u w:val="single"/>
          <w:lang w:eastAsia="ar-SA"/>
        </w:rPr>
      </w:pPr>
    </w:p>
    <w:p w14:paraId="06E4539B">
      <w:pPr>
        <w:spacing w:after="0" w:line="360" w:lineRule="auto"/>
        <w:ind w:right="140"/>
        <w:jc w:val="center"/>
        <w:rPr>
          <w:rFonts w:cstheme="minorHAnsi"/>
          <w:b/>
          <w:u w:val="single"/>
          <w:lang w:eastAsia="ar-SA"/>
        </w:rPr>
      </w:pPr>
    </w:p>
    <w:p w14:paraId="2955A41F">
      <w:pPr>
        <w:spacing w:after="0" w:line="360" w:lineRule="auto"/>
        <w:ind w:right="140"/>
        <w:jc w:val="center"/>
        <w:rPr>
          <w:rFonts w:cstheme="minorHAnsi"/>
          <w:b/>
          <w:u w:val="single"/>
          <w:lang w:eastAsia="ar-SA"/>
        </w:rPr>
      </w:pPr>
    </w:p>
    <w:p w14:paraId="7D5B1881">
      <w:pPr>
        <w:spacing w:after="0" w:line="360" w:lineRule="auto"/>
        <w:ind w:right="140"/>
        <w:jc w:val="center"/>
        <w:rPr>
          <w:rFonts w:cstheme="minorHAnsi"/>
          <w:b/>
          <w:u w:val="single"/>
          <w:lang w:eastAsia="ar-SA"/>
        </w:rPr>
      </w:pPr>
    </w:p>
    <w:p w14:paraId="1E3886C9">
      <w:pPr>
        <w:spacing w:after="0" w:line="360" w:lineRule="auto"/>
        <w:ind w:right="140"/>
        <w:jc w:val="center"/>
        <w:rPr>
          <w:rFonts w:cstheme="minorHAnsi"/>
          <w:b/>
          <w:u w:val="single"/>
          <w:lang w:eastAsia="ar-SA"/>
        </w:rPr>
      </w:pPr>
    </w:p>
    <w:p w14:paraId="567CCE1F">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290ACDE8">
      <w:pPr>
        <w:shd w:val="clear" w:color="auto" w:fill="F1F1F1" w:themeFill="background1" w:themeFillShade="F2"/>
        <w:spacing w:before="120" w:after="120" w:line="240" w:lineRule="auto"/>
        <w:ind w:right="-1"/>
        <w:contextualSpacing/>
        <w:jc w:val="center"/>
        <w:rPr>
          <w:rFonts w:cstheme="minorHAnsi"/>
          <w:b/>
          <w:lang w:eastAsia="ar-SA"/>
        </w:rPr>
      </w:pPr>
      <w:r>
        <w:rPr>
          <w:rFonts w:cstheme="minorHAnsi"/>
          <w:b/>
          <w:lang w:eastAsia="ar-SA"/>
        </w:rPr>
        <w:t>TERMO DE REFERÊNCIA</w:t>
      </w:r>
    </w:p>
    <w:p w14:paraId="5D88E17F">
      <w:pPr>
        <w:shd w:val="clear" w:color="auto" w:fill="F1F1F1" w:themeFill="background1" w:themeFillShade="F2"/>
        <w:spacing w:before="120" w:after="120" w:line="240" w:lineRule="auto"/>
        <w:ind w:right="-1"/>
        <w:contextualSpacing/>
        <w:jc w:val="center"/>
        <w:rPr>
          <w:rFonts w:cstheme="minorHAnsi"/>
          <w:b/>
          <w:color w:val="0070C0"/>
          <w:lang w:eastAsia="ar-SA"/>
        </w:rPr>
      </w:pPr>
      <w:r>
        <w:rPr>
          <w:rFonts w:cstheme="minorHAnsi"/>
          <w:b/>
          <w:lang w:eastAsia="ar-SA"/>
        </w:rPr>
        <w:t xml:space="preserve">PREGÃO ELETRÔNICO SRP nº </w:t>
      </w:r>
      <w:r>
        <w:rPr>
          <w:rFonts w:cstheme="minorHAnsi"/>
          <w:b/>
          <w:color w:val="0070C0"/>
          <w:lang w:eastAsia="ar-SA"/>
        </w:rPr>
        <w:t>90051/2026</w:t>
      </w:r>
    </w:p>
    <w:p w14:paraId="738ACC22">
      <w:pPr>
        <w:shd w:val="clear" w:color="auto" w:fill="F1F1F1" w:themeFill="background1" w:themeFillShade="F2"/>
        <w:spacing w:before="120" w:after="120" w:line="240" w:lineRule="auto"/>
        <w:ind w:right="-1"/>
        <w:contextualSpacing/>
        <w:jc w:val="center"/>
        <w:rPr>
          <w:rFonts w:cstheme="minorHAnsi"/>
          <w:b/>
          <w:lang w:eastAsia="ar-SA"/>
        </w:rPr>
      </w:pPr>
      <w:r>
        <w:rPr>
          <w:rFonts w:cstheme="minorHAnsi"/>
          <w:b/>
        </w:rPr>
        <w:t>PARTICIPAÇÃO EM AMPLA CONCORRÊNCIA SEM EXCLUSIVIDADE PARA ME/EPP</w:t>
      </w:r>
    </w:p>
    <w:p w14:paraId="1DB916BA">
      <w:pPr>
        <w:spacing w:before="120" w:after="120" w:line="240" w:lineRule="auto"/>
        <w:ind w:right="-1"/>
        <w:contextualSpacing/>
        <w:jc w:val="center"/>
        <w:rPr>
          <w:rFonts w:cstheme="minorHAnsi"/>
          <w:b/>
          <w:lang w:eastAsia="ar-SA"/>
        </w:rPr>
      </w:pPr>
    </w:p>
    <w:p w14:paraId="1F0159A1">
      <w:pPr>
        <w:rPr>
          <w:rFonts w:cstheme="minorHAnsi"/>
          <w:b/>
          <w:bCs/>
          <w:color w:val="0070C0"/>
          <w:shd w:val="clear" w:color="auto" w:fill="FFFFFF"/>
        </w:rPr>
      </w:pPr>
      <w:r>
        <w:rPr>
          <w:rFonts w:cstheme="minorHAnsi"/>
          <w:b/>
          <w:bCs/>
        </w:rPr>
        <w:t xml:space="preserve">NÚMERO DO PROCESSO: </w:t>
      </w:r>
      <w:r>
        <w:rPr>
          <w:rFonts w:cstheme="minorHAnsi"/>
          <w:b/>
          <w:bCs/>
          <w:color w:val="0070C0"/>
          <w:shd w:val="clear" w:color="auto" w:fill="FFFFFF"/>
        </w:rPr>
        <w:t>23066.020312/2026-18</w:t>
      </w:r>
    </w:p>
    <w:p w14:paraId="23028337">
      <w:pPr>
        <w:spacing w:before="120" w:after="120" w:line="240" w:lineRule="auto"/>
        <w:ind w:right="-1"/>
        <w:contextualSpacing/>
        <w:rPr>
          <w:rFonts w:cstheme="minorHAnsi"/>
          <w:lang w:eastAsia="pt-BR"/>
        </w:rPr>
      </w:pPr>
    </w:p>
    <w:p w14:paraId="5E843A46">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CONDIÇÕES GERAIS DA CONTRATAÇÃO</w:t>
      </w:r>
    </w:p>
    <w:p w14:paraId="373096DD">
      <w:pPr>
        <w:pStyle w:val="63"/>
        <w:widowControl w:val="0"/>
        <w:numPr>
          <w:ilvl w:val="1"/>
          <w:numId w:val="10"/>
        </w:numPr>
        <w:tabs>
          <w:tab w:val="left" w:pos="850"/>
        </w:tabs>
        <w:autoSpaceDE w:val="0"/>
        <w:autoSpaceDN w:val="0"/>
        <w:spacing w:before="114"/>
        <w:ind w:left="0" w:right="420" w:firstLine="0"/>
        <w:contextualSpacing w:val="0"/>
        <w:jc w:val="both"/>
        <w:rPr>
          <w:rFonts w:asciiTheme="minorHAnsi" w:hAnsiTheme="minorHAnsi" w:cstheme="minorHAnsi"/>
          <w:color w:val="EE0000"/>
          <w:sz w:val="22"/>
          <w:szCs w:val="22"/>
        </w:rPr>
      </w:pPr>
      <w:r>
        <w:rPr>
          <w:rFonts w:asciiTheme="minorHAnsi" w:hAnsiTheme="minorHAnsi" w:cstheme="minorHAnsi"/>
          <w:bCs/>
          <w:sz w:val="22"/>
          <w:szCs w:val="22"/>
        </w:rPr>
        <w:t xml:space="preserve">Aquisição </w:t>
      </w:r>
      <w:r>
        <w:rPr>
          <w:rFonts w:asciiTheme="minorHAnsi" w:hAnsiTheme="minorHAnsi" w:cstheme="minorHAnsi"/>
          <w:sz w:val="22"/>
          <w:szCs w:val="22"/>
        </w:rPr>
        <w:t xml:space="preserve">de materiais destinados a </w:t>
      </w:r>
      <w:r>
        <w:rPr>
          <w:rFonts w:asciiTheme="minorHAnsi" w:hAnsiTheme="minorHAnsi" w:cstheme="minorHAnsi"/>
          <w:b/>
          <w:color w:val="EE0000"/>
          <w:sz w:val="22"/>
          <w:szCs w:val="22"/>
        </w:rPr>
        <w:t>procedimentos Cárdio Hemodinâmica e Cirurgia Cardíaca do Hospital Ana Nery</w:t>
      </w:r>
      <w:r>
        <w:rPr>
          <w:rFonts w:asciiTheme="minorHAnsi" w:hAnsiTheme="minorHAnsi" w:cstheme="minorHAnsi"/>
          <w:color w:val="EE0000"/>
          <w:sz w:val="22"/>
          <w:szCs w:val="22"/>
        </w:rPr>
        <w:t xml:space="preserve">, mediante o Sistema de Registro de Preços, pelo período de 12 (doze) meses, conforme quantidades, especificações e condições encontram-se descritas neste </w:t>
      </w:r>
      <w:r>
        <w:rPr>
          <w:rFonts w:asciiTheme="minorHAnsi" w:hAnsiTheme="minorHAnsi" w:cstheme="minorHAnsi"/>
          <w:color w:val="EE0000"/>
          <w:spacing w:val="-2"/>
          <w:sz w:val="22"/>
          <w:szCs w:val="22"/>
        </w:rPr>
        <w:t>documento.</w:t>
      </w:r>
    </w:p>
    <w:p w14:paraId="02BA21D9">
      <w:pPr>
        <w:pStyle w:val="63"/>
        <w:widowControl w:val="0"/>
        <w:numPr>
          <w:ilvl w:val="1"/>
          <w:numId w:val="10"/>
        </w:numPr>
        <w:tabs>
          <w:tab w:val="left" w:pos="574"/>
        </w:tabs>
        <w:autoSpaceDE w:val="0"/>
        <w:autoSpaceDN w:val="0"/>
        <w:spacing w:before="120"/>
        <w:ind w:left="0" w:firstLine="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A</w:t>
      </w:r>
      <w:r>
        <w:rPr>
          <w:rFonts w:asciiTheme="minorHAnsi" w:hAnsiTheme="minorHAnsi" w:cstheme="minorHAnsi"/>
          <w:b/>
          <w:bCs/>
          <w:color w:val="EE0000"/>
          <w:spacing w:val="-6"/>
          <w:sz w:val="22"/>
          <w:szCs w:val="22"/>
        </w:rPr>
        <w:t xml:space="preserve"> </w:t>
      </w:r>
      <w:r>
        <w:rPr>
          <w:rFonts w:asciiTheme="minorHAnsi" w:hAnsiTheme="minorHAnsi" w:cstheme="minorHAnsi"/>
          <w:b/>
          <w:bCs/>
          <w:color w:val="EE0000"/>
          <w:sz w:val="22"/>
          <w:szCs w:val="22"/>
        </w:rPr>
        <w:t>entrega</w:t>
      </w:r>
      <w:r>
        <w:rPr>
          <w:rFonts w:asciiTheme="minorHAnsi" w:hAnsiTheme="minorHAnsi" w:cstheme="minorHAnsi"/>
          <w:b/>
          <w:bCs/>
          <w:color w:val="EE0000"/>
          <w:spacing w:val="-3"/>
          <w:sz w:val="22"/>
          <w:szCs w:val="22"/>
        </w:rPr>
        <w:t xml:space="preserve"> </w:t>
      </w:r>
      <w:r>
        <w:rPr>
          <w:rFonts w:asciiTheme="minorHAnsi" w:hAnsiTheme="minorHAnsi" w:cstheme="minorHAnsi"/>
          <w:b/>
          <w:bCs/>
          <w:color w:val="EE0000"/>
          <w:sz w:val="22"/>
          <w:szCs w:val="22"/>
        </w:rPr>
        <w:t>do</w:t>
      </w:r>
      <w:r>
        <w:rPr>
          <w:rFonts w:asciiTheme="minorHAnsi" w:hAnsiTheme="minorHAnsi" w:cstheme="minorHAnsi"/>
          <w:b/>
          <w:bCs/>
          <w:color w:val="EE0000"/>
          <w:spacing w:val="-3"/>
          <w:sz w:val="22"/>
          <w:szCs w:val="22"/>
        </w:rPr>
        <w:t xml:space="preserve"> </w:t>
      </w:r>
      <w:r>
        <w:rPr>
          <w:rFonts w:asciiTheme="minorHAnsi" w:hAnsiTheme="minorHAnsi" w:cstheme="minorHAnsi"/>
          <w:b/>
          <w:bCs/>
          <w:color w:val="EE0000"/>
          <w:sz w:val="22"/>
          <w:szCs w:val="22"/>
        </w:rPr>
        <w:t>material</w:t>
      </w:r>
      <w:r>
        <w:rPr>
          <w:rFonts w:asciiTheme="minorHAnsi" w:hAnsiTheme="minorHAnsi" w:cstheme="minorHAnsi"/>
          <w:b/>
          <w:bCs/>
          <w:color w:val="EE0000"/>
          <w:spacing w:val="-4"/>
          <w:sz w:val="22"/>
          <w:szCs w:val="22"/>
        </w:rPr>
        <w:t xml:space="preserve"> </w:t>
      </w:r>
      <w:r>
        <w:rPr>
          <w:rFonts w:asciiTheme="minorHAnsi" w:hAnsiTheme="minorHAnsi" w:cstheme="minorHAnsi"/>
          <w:b/>
          <w:bCs/>
          <w:color w:val="EE0000"/>
          <w:sz w:val="22"/>
          <w:szCs w:val="22"/>
        </w:rPr>
        <w:t>referente</w:t>
      </w:r>
      <w:r>
        <w:rPr>
          <w:rFonts w:asciiTheme="minorHAnsi" w:hAnsiTheme="minorHAnsi" w:cstheme="minorHAnsi"/>
          <w:b/>
          <w:bCs/>
          <w:color w:val="EE0000"/>
          <w:spacing w:val="-5"/>
          <w:sz w:val="22"/>
          <w:szCs w:val="22"/>
        </w:rPr>
        <w:t xml:space="preserve"> </w:t>
      </w:r>
      <w:r>
        <w:rPr>
          <w:rFonts w:asciiTheme="minorHAnsi" w:hAnsiTheme="minorHAnsi" w:cstheme="minorHAnsi"/>
          <w:b/>
          <w:bCs/>
          <w:color w:val="EE0000"/>
          <w:sz w:val="22"/>
          <w:szCs w:val="22"/>
        </w:rPr>
        <w:t>ao item</w:t>
      </w:r>
      <w:r>
        <w:rPr>
          <w:rFonts w:asciiTheme="minorHAnsi" w:hAnsiTheme="minorHAnsi" w:cstheme="minorHAnsi"/>
          <w:b/>
          <w:bCs/>
          <w:color w:val="EE0000"/>
          <w:spacing w:val="-1"/>
          <w:sz w:val="22"/>
          <w:szCs w:val="22"/>
        </w:rPr>
        <w:t xml:space="preserve"> </w:t>
      </w:r>
      <w:r>
        <w:rPr>
          <w:rFonts w:asciiTheme="minorHAnsi" w:hAnsiTheme="minorHAnsi" w:cstheme="minorHAnsi"/>
          <w:b/>
          <w:bCs/>
          <w:color w:val="EE0000"/>
          <w:sz w:val="22"/>
          <w:szCs w:val="22"/>
        </w:rPr>
        <w:t>01</w:t>
      </w:r>
      <w:r>
        <w:rPr>
          <w:rFonts w:asciiTheme="minorHAnsi" w:hAnsiTheme="minorHAnsi" w:cstheme="minorHAnsi"/>
          <w:b/>
          <w:bCs/>
          <w:color w:val="EE0000"/>
          <w:spacing w:val="-6"/>
          <w:sz w:val="22"/>
          <w:szCs w:val="22"/>
        </w:rPr>
        <w:t xml:space="preserve"> </w:t>
      </w:r>
      <w:r>
        <w:rPr>
          <w:rFonts w:asciiTheme="minorHAnsi" w:hAnsiTheme="minorHAnsi" w:cstheme="minorHAnsi"/>
          <w:b/>
          <w:bCs/>
          <w:color w:val="EE0000"/>
          <w:sz w:val="22"/>
          <w:szCs w:val="22"/>
        </w:rPr>
        <w:t>deverá</w:t>
      </w:r>
      <w:r>
        <w:rPr>
          <w:rFonts w:asciiTheme="minorHAnsi" w:hAnsiTheme="minorHAnsi" w:cstheme="minorHAnsi"/>
          <w:b/>
          <w:bCs/>
          <w:color w:val="EE0000"/>
          <w:spacing w:val="-2"/>
          <w:sz w:val="22"/>
          <w:szCs w:val="22"/>
        </w:rPr>
        <w:t xml:space="preserve"> </w:t>
      </w:r>
      <w:r>
        <w:rPr>
          <w:rFonts w:asciiTheme="minorHAnsi" w:hAnsiTheme="minorHAnsi" w:cstheme="minorHAnsi"/>
          <w:b/>
          <w:bCs/>
          <w:color w:val="EE0000"/>
          <w:sz w:val="22"/>
          <w:szCs w:val="22"/>
        </w:rPr>
        <w:t>ocorrer</w:t>
      </w:r>
      <w:r>
        <w:rPr>
          <w:rFonts w:asciiTheme="minorHAnsi" w:hAnsiTheme="minorHAnsi" w:cstheme="minorHAnsi"/>
          <w:b/>
          <w:bCs/>
          <w:color w:val="EE0000"/>
          <w:spacing w:val="-2"/>
          <w:sz w:val="22"/>
          <w:szCs w:val="22"/>
        </w:rPr>
        <w:t xml:space="preserve"> </w:t>
      </w:r>
      <w:r>
        <w:rPr>
          <w:rFonts w:asciiTheme="minorHAnsi" w:hAnsiTheme="minorHAnsi" w:cstheme="minorHAnsi"/>
          <w:b/>
          <w:bCs/>
          <w:color w:val="EE0000"/>
          <w:sz w:val="22"/>
          <w:szCs w:val="22"/>
        </w:rPr>
        <w:t>mediante</w:t>
      </w:r>
      <w:r>
        <w:rPr>
          <w:rFonts w:asciiTheme="minorHAnsi" w:hAnsiTheme="minorHAnsi" w:cstheme="minorHAnsi"/>
          <w:b/>
          <w:bCs/>
          <w:color w:val="EE0000"/>
          <w:spacing w:val="-3"/>
          <w:sz w:val="22"/>
          <w:szCs w:val="22"/>
        </w:rPr>
        <w:t xml:space="preserve"> </w:t>
      </w:r>
      <w:r>
        <w:rPr>
          <w:rFonts w:asciiTheme="minorHAnsi" w:hAnsiTheme="minorHAnsi" w:cstheme="minorHAnsi"/>
          <w:b/>
          <w:bCs/>
          <w:color w:val="EE0000"/>
          <w:sz w:val="22"/>
          <w:szCs w:val="22"/>
        </w:rPr>
        <w:t>regime</w:t>
      </w:r>
      <w:r>
        <w:rPr>
          <w:rFonts w:asciiTheme="minorHAnsi" w:hAnsiTheme="minorHAnsi" w:cstheme="minorHAnsi"/>
          <w:b/>
          <w:bCs/>
          <w:color w:val="EE0000"/>
          <w:spacing w:val="-3"/>
          <w:sz w:val="22"/>
          <w:szCs w:val="22"/>
        </w:rPr>
        <w:t xml:space="preserve"> </w:t>
      </w:r>
      <w:r>
        <w:rPr>
          <w:rFonts w:asciiTheme="minorHAnsi" w:hAnsiTheme="minorHAnsi" w:cstheme="minorHAnsi"/>
          <w:b/>
          <w:bCs/>
          <w:color w:val="EE0000"/>
          <w:sz w:val="22"/>
          <w:szCs w:val="22"/>
        </w:rPr>
        <w:t>de</w:t>
      </w:r>
      <w:r>
        <w:rPr>
          <w:rFonts w:asciiTheme="minorHAnsi" w:hAnsiTheme="minorHAnsi" w:cstheme="minorHAnsi"/>
          <w:b/>
          <w:bCs/>
          <w:color w:val="EE0000"/>
          <w:spacing w:val="-2"/>
          <w:sz w:val="22"/>
          <w:szCs w:val="22"/>
        </w:rPr>
        <w:t xml:space="preserve"> consignação.</w:t>
      </w:r>
    </w:p>
    <w:p w14:paraId="1926A660">
      <w:pPr>
        <w:pStyle w:val="63"/>
        <w:widowControl w:val="0"/>
        <w:tabs>
          <w:tab w:val="left" w:pos="574"/>
        </w:tabs>
        <w:autoSpaceDE w:val="0"/>
        <w:autoSpaceDN w:val="0"/>
        <w:spacing w:before="120"/>
        <w:ind w:left="0"/>
        <w:contextualSpacing w:val="0"/>
        <w:jc w:val="both"/>
        <w:rPr>
          <w:rFonts w:asciiTheme="minorHAnsi" w:hAnsiTheme="minorHAnsi" w:cstheme="minorHAnsi"/>
          <w:sz w:val="22"/>
          <w:szCs w:val="22"/>
        </w:rPr>
      </w:pPr>
    </w:p>
    <w:tbl>
      <w:tblPr>
        <w:tblStyle w:val="12"/>
        <w:tblW w:w="8785" w:type="dxa"/>
        <w:tblInd w:w="0" w:type="dxa"/>
        <w:tblLayout w:type="fixed"/>
        <w:tblCellMar>
          <w:top w:w="0" w:type="dxa"/>
          <w:left w:w="70" w:type="dxa"/>
          <w:bottom w:w="0" w:type="dxa"/>
          <w:right w:w="70" w:type="dxa"/>
        </w:tblCellMar>
      </w:tblPr>
      <w:tblGrid>
        <w:gridCol w:w="562"/>
        <w:gridCol w:w="851"/>
        <w:gridCol w:w="2835"/>
        <w:gridCol w:w="708"/>
        <w:gridCol w:w="1053"/>
        <w:gridCol w:w="1216"/>
        <w:gridCol w:w="1560"/>
      </w:tblGrid>
      <w:tr w14:paraId="19A465A2">
        <w:tblPrEx>
          <w:tblCellMar>
            <w:top w:w="0" w:type="dxa"/>
            <w:left w:w="70" w:type="dxa"/>
            <w:bottom w:w="0" w:type="dxa"/>
            <w:right w:w="70" w:type="dxa"/>
          </w:tblCellMar>
        </w:tblPrEx>
        <w:trPr>
          <w:cantSplit/>
          <w:trHeight w:val="794" w:hRule="atLeast"/>
        </w:trPr>
        <w:tc>
          <w:tcPr>
            <w:tcW w:w="562" w:type="dxa"/>
            <w:tcBorders>
              <w:top w:val="single" w:color="auto" w:sz="4" w:space="0"/>
              <w:left w:val="single" w:color="auto" w:sz="4" w:space="0"/>
              <w:bottom w:val="single" w:color="auto" w:sz="4" w:space="0"/>
              <w:right w:val="single" w:color="auto" w:sz="4" w:space="0"/>
            </w:tcBorders>
            <w:shd w:val="clear" w:color="FFFFFF" w:fill="F2F2F2"/>
            <w:noWrap/>
            <w:textDirection w:val="btLr"/>
            <w:vAlign w:val="center"/>
          </w:tcPr>
          <w:p w14:paraId="64D4B692">
            <w:pPr>
              <w:spacing w:after="0" w:line="240" w:lineRule="auto"/>
              <w:ind w:left="113" w:right="113"/>
              <w:jc w:val="center"/>
              <w:rPr>
                <w:rFonts w:eastAsia="Times New Roman" w:cstheme="minorHAnsi"/>
                <w:b/>
                <w:bCs/>
                <w:color w:val="EE0000"/>
                <w:lang w:eastAsia="pt-BR"/>
              </w:rPr>
            </w:pPr>
            <w:r>
              <w:rPr>
                <w:rFonts w:eastAsia="Times New Roman" w:cstheme="minorHAnsi"/>
                <w:b/>
                <w:bCs/>
                <w:color w:val="EE0000"/>
                <w:lang w:eastAsia="pt-BR"/>
              </w:rPr>
              <w:t>ITEM</w:t>
            </w:r>
          </w:p>
        </w:tc>
        <w:tc>
          <w:tcPr>
            <w:tcW w:w="851" w:type="dxa"/>
            <w:tcBorders>
              <w:top w:val="single" w:color="auto" w:sz="4" w:space="0"/>
              <w:left w:val="nil"/>
              <w:bottom w:val="single" w:color="auto" w:sz="4" w:space="0"/>
              <w:right w:val="nil"/>
            </w:tcBorders>
            <w:shd w:val="clear" w:color="FFFFFF" w:fill="F2F2F2"/>
            <w:vAlign w:val="center"/>
          </w:tcPr>
          <w:p w14:paraId="11D63F1F">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CÓDIGO                             CATMAT</w:t>
            </w:r>
          </w:p>
        </w:tc>
        <w:tc>
          <w:tcPr>
            <w:tcW w:w="2835" w:type="dxa"/>
            <w:tcBorders>
              <w:top w:val="single" w:color="auto" w:sz="4" w:space="0"/>
              <w:left w:val="single" w:color="auto" w:sz="4" w:space="0"/>
              <w:bottom w:val="single" w:color="auto" w:sz="4" w:space="0"/>
              <w:right w:val="single" w:color="auto" w:sz="4" w:space="0"/>
            </w:tcBorders>
            <w:shd w:val="clear" w:color="FFFFFF" w:fill="F2F2F2"/>
            <w:vAlign w:val="center"/>
          </w:tcPr>
          <w:p w14:paraId="3BAEE8EC">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 xml:space="preserve">ESPECIFICAÇÃO </w:t>
            </w:r>
          </w:p>
        </w:tc>
        <w:tc>
          <w:tcPr>
            <w:tcW w:w="708" w:type="dxa"/>
            <w:tcBorders>
              <w:top w:val="single" w:color="auto" w:sz="4" w:space="0"/>
              <w:left w:val="nil"/>
              <w:bottom w:val="single" w:color="auto" w:sz="4" w:space="0"/>
              <w:right w:val="single" w:color="auto" w:sz="4" w:space="0"/>
            </w:tcBorders>
            <w:shd w:val="clear" w:color="FFFFFF" w:fill="F2F2F2"/>
            <w:vAlign w:val="center"/>
          </w:tcPr>
          <w:p w14:paraId="24A9CB7C">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U.F</w:t>
            </w:r>
          </w:p>
        </w:tc>
        <w:tc>
          <w:tcPr>
            <w:tcW w:w="1053" w:type="dxa"/>
            <w:tcBorders>
              <w:top w:val="single" w:color="auto" w:sz="4" w:space="0"/>
              <w:left w:val="nil"/>
              <w:bottom w:val="single" w:color="auto" w:sz="4" w:space="0"/>
              <w:right w:val="single" w:color="auto" w:sz="4" w:space="0"/>
            </w:tcBorders>
            <w:shd w:val="clear" w:color="FFFFFF" w:fill="F2F2F2"/>
            <w:vAlign w:val="center"/>
          </w:tcPr>
          <w:p w14:paraId="43AFF079">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QUANTIDADE ANUAL</w:t>
            </w:r>
          </w:p>
        </w:tc>
        <w:tc>
          <w:tcPr>
            <w:tcW w:w="1215" w:type="dxa"/>
            <w:tcBorders>
              <w:top w:val="single" w:color="auto" w:sz="4" w:space="0"/>
              <w:left w:val="nil"/>
              <w:bottom w:val="single" w:color="auto" w:sz="4" w:space="0"/>
              <w:right w:val="single" w:color="auto" w:sz="4" w:space="0"/>
            </w:tcBorders>
            <w:shd w:val="clear" w:color="FFFFFF" w:fill="F2F2F2"/>
            <w:vAlign w:val="center"/>
          </w:tcPr>
          <w:p w14:paraId="2F9B27C9">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 xml:space="preserve">VALOR MÉDIO UNITÁRIO ESTIMADO </w:t>
            </w:r>
          </w:p>
        </w:tc>
        <w:tc>
          <w:tcPr>
            <w:tcW w:w="1560" w:type="dxa"/>
            <w:tcBorders>
              <w:top w:val="single" w:color="auto" w:sz="4" w:space="0"/>
              <w:left w:val="nil"/>
              <w:bottom w:val="single" w:color="auto" w:sz="4" w:space="0"/>
              <w:right w:val="single" w:color="auto" w:sz="4" w:space="0"/>
            </w:tcBorders>
            <w:shd w:val="clear" w:color="000000" w:fill="F2F2F2"/>
            <w:vAlign w:val="center"/>
          </w:tcPr>
          <w:p w14:paraId="6B173A9F">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VALOR TOTAL ANUAL ESTIMADO</w:t>
            </w:r>
          </w:p>
        </w:tc>
      </w:tr>
      <w:tr w14:paraId="566603E3">
        <w:tblPrEx>
          <w:tblCellMar>
            <w:top w:w="0" w:type="dxa"/>
            <w:left w:w="70" w:type="dxa"/>
            <w:bottom w:w="0" w:type="dxa"/>
            <w:right w:w="70" w:type="dxa"/>
          </w:tblCellMar>
        </w:tblPrEx>
        <w:trPr>
          <w:trHeight w:val="255" w:hRule="atLeast"/>
        </w:trPr>
        <w:tc>
          <w:tcPr>
            <w:tcW w:w="562" w:type="dxa"/>
            <w:tcBorders>
              <w:top w:val="nil"/>
              <w:left w:val="single" w:color="auto" w:sz="4" w:space="0"/>
              <w:bottom w:val="single" w:color="auto" w:sz="4" w:space="0"/>
              <w:right w:val="single" w:color="auto" w:sz="4" w:space="0"/>
            </w:tcBorders>
            <w:shd w:val="clear" w:color="FFFFFF" w:fill="F2F2F2"/>
            <w:vAlign w:val="center"/>
          </w:tcPr>
          <w:p w14:paraId="64245DBC">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 </w:t>
            </w:r>
          </w:p>
        </w:tc>
        <w:tc>
          <w:tcPr>
            <w:tcW w:w="851" w:type="dxa"/>
            <w:tcBorders>
              <w:top w:val="nil"/>
              <w:left w:val="nil"/>
              <w:bottom w:val="single" w:color="auto" w:sz="4" w:space="0"/>
              <w:right w:val="nil"/>
            </w:tcBorders>
            <w:shd w:val="clear" w:color="FFFFFF" w:fill="F2F2F2"/>
            <w:noWrap/>
            <w:vAlign w:val="center"/>
          </w:tcPr>
          <w:p w14:paraId="3B222DA0">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 </w:t>
            </w:r>
          </w:p>
        </w:tc>
        <w:tc>
          <w:tcPr>
            <w:tcW w:w="2835" w:type="dxa"/>
            <w:tcBorders>
              <w:top w:val="nil"/>
              <w:left w:val="single" w:color="auto" w:sz="4" w:space="0"/>
              <w:bottom w:val="single" w:color="auto" w:sz="4" w:space="0"/>
              <w:right w:val="single" w:color="auto" w:sz="4" w:space="0"/>
            </w:tcBorders>
            <w:shd w:val="clear" w:color="FFFFFF" w:fill="F2F2F2"/>
            <w:noWrap/>
            <w:vAlign w:val="center"/>
          </w:tcPr>
          <w:p w14:paraId="3BBFC108">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ITENS DO PROCESSO</w:t>
            </w:r>
          </w:p>
        </w:tc>
        <w:tc>
          <w:tcPr>
            <w:tcW w:w="708" w:type="dxa"/>
            <w:tcBorders>
              <w:top w:val="nil"/>
              <w:left w:val="nil"/>
              <w:bottom w:val="single" w:color="auto" w:sz="4" w:space="0"/>
              <w:right w:val="single" w:color="auto" w:sz="4" w:space="0"/>
            </w:tcBorders>
            <w:shd w:val="clear" w:color="FFFFFF" w:fill="F2F2F2"/>
            <w:vAlign w:val="center"/>
          </w:tcPr>
          <w:p w14:paraId="104BDECE">
            <w:pPr>
              <w:spacing w:after="0" w:line="240" w:lineRule="auto"/>
              <w:rPr>
                <w:rFonts w:eastAsia="Times New Roman" w:cstheme="minorHAnsi"/>
                <w:b/>
                <w:bCs/>
                <w:color w:val="EE0000"/>
                <w:lang w:eastAsia="pt-BR"/>
              </w:rPr>
            </w:pPr>
            <w:r>
              <w:rPr>
                <w:rFonts w:eastAsia="Times New Roman" w:cstheme="minorHAnsi"/>
                <w:b/>
                <w:bCs/>
                <w:color w:val="EE0000"/>
                <w:lang w:eastAsia="pt-BR"/>
              </w:rPr>
              <w:t> </w:t>
            </w:r>
          </w:p>
        </w:tc>
        <w:tc>
          <w:tcPr>
            <w:tcW w:w="1053" w:type="dxa"/>
            <w:tcBorders>
              <w:top w:val="nil"/>
              <w:left w:val="nil"/>
              <w:bottom w:val="single" w:color="auto" w:sz="4" w:space="0"/>
              <w:right w:val="single" w:color="auto" w:sz="4" w:space="0"/>
            </w:tcBorders>
            <w:shd w:val="clear" w:color="FFFFFF" w:fill="F2F2F2"/>
            <w:vAlign w:val="center"/>
          </w:tcPr>
          <w:p w14:paraId="4B92209D">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HAN</w:t>
            </w:r>
          </w:p>
        </w:tc>
        <w:tc>
          <w:tcPr>
            <w:tcW w:w="1215" w:type="dxa"/>
            <w:tcBorders>
              <w:top w:val="nil"/>
              <w:left w:val="nil"/>
              <w:bottom w:val="single" w:color="auto" w:sz="4" w:space="0"/>
              <w:right w:val="single" w:color="auto" w:sz="4" w:space="0"/>
            </w:tcBorders>
            <w:shd w:val="clear" w:color="FFFFFF" w:fill="F2F2F2"/>
            <w:vAlign w:val="center"/>
          </w:tcPr>
          <w:p w14:paraId="4765D039">
            <w:pPr>
              <w:spacing w:after="0" w:line="240" w:lineRule="auto"/>
              <w:rPr>
                <w:rFonts w:eastAsia="Times New Roman" w:cstheme="minorHAnsi"/>
                <w:b/>
                <w:bCs/>
                <w:color w:val="EE0000"/>
                <w:lang w:eastAsia="pt-BR"/>
              </w:rPr>
            </w:pPr>
            <w:r>
              <w:rPr>
                <w:rFonts w:eastAsia="Times New Roman" w:cstheme="minorHAnsi"/>
                <w:b/>
                <w:bCs/>
                <w:color w:val="EE0000"/>
                <w:lang w:eastAsia="pt-BR"/>
              </w:rPr>
              <w:t> </w:t>
            </w:r>
          </w:p>
        </w:tc>
        <w:tc>
          <w:tcPr>
            <w:tcW w:w="1560" w:type="dxa"/>
            <w:tcBorders>
              <w:top w:val="nil"/>
              <w:left w:val="nil"/>
              <w:bottom w:val="single" w:color="auto" w:sz="4" w:space="0"/>
              <w:right w:val="single" w:color="auto" w:sz="4" w:space="0"/>
            </w:tcBorders>
            <w:shd w:val="clear" w:color="000000" w:fill="F2F2F2"/>
            <w:vAlign w:val="center"/>
          </w:tcPr>
          <w:p w14:paraId="5AA18EAE">
            <w:pPr>
              <w:spacing w:after="0" w:line="240" w:lineRule="auto"/>
              <w:rPr>
                <w:rFonts w:eastAsia="Times New Roman" w:cstheme="minorHAnsi"/>
                <w:b/>
                <w:bCs/>
                <w:color w:val="EE0000"/>
                <w:lang w:eastAsia="pt-BR"/>
              </w:rPr>
            </w:pPr>
            <w:r>
              <w:rPr>
                <w:rFonts w:eastAsia="Times New Roman" w:cstheme="minorHAnsi"/>
                <w:b/>
                <w:bCs/>
                <w:color w:val="EE0000"/>
                <w:lang w:eastAsia="pt-BR"/>
              </w:rPr>
              <w:t> </w:t>
            </w:r>
          </w:p>
        </w:tc>
      </w:tr>
      <w:tr w14:paraId="75A271F0">
        <w:tblPrEx>
          <w:tblCellMar>
            <w:top w:w="0" w:type="dxa"/>
            <w:left w:w="70" w:type="dxa"/>
            <w:bottom w:w="0" w:type="dxa"/>
            <w:right w:w="70" w:type="dxa"/>
          </w:tblCellMar>
        </w:tblPrEx>
        <w:trPr>
          <w:trHeight w:val="1920" w:hRule="atLeast"/>
        </w:trPr>
        <w:tc>
          <w:tcPr>
            <w:tcW w:w="562" w:type="dxa"/>
            <w:tcBorders>
              <w:top w:val="nil"/>
              <w:left w:val="single" w:color="auto" w:sz="4" w:space="0"/>
              <w:bottom w:val="single" w:color="auto" w:sz="4" w:space="0"/>
              <w:right w:val="single" w:color="auto" w:sz="4" w:space="0"/>
            </w:tcBorders>
            <w:vAlign w:val="center"/>
          </w:tcPr>
          <w:p w14:paraId="6BF29C30">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w:t>
            </w:r>
          </w:p>
        </w:tc>
        <w:tc>
          <w:tcPr>
            <w:tcW w:w="851" w:type="dxa"/>
            <w:tcBorders>
              <w:top w:val="nil"/>
              <w:left w:val="nil"/>
              <w:bottom w:val="single" w:color="auto" w:sz="4" w:space="0"/>
              <w:right w:val="single" w:color="auto" w:sz="4" w:space="0"/>
            </w:tcBorders>
            <w:noWrap/>
            <w:vAlign w:val="center"/>
          </w:tcPr>
          <w:p w14:paraId="37C015FE">
            <w:pPr>
              <w:spacing w:after="0" w:line="240" w:lineRule="auto"/>
              <w:jc w:val="center"/>
              <w:rPr>
                <w:rFonts w:eastAsia="Times New Roman" w:cstheme="minorHAnsi"/>
                <w:color w:val="EE0000"/>
                <w:lang w:eastAsia="pt-BR"/>
              </w:rPr>
            </w:pPr>
            <w:r>
              <w:rPr>
                <w:rFonts w:eastAsia="Times New Roman" w:cstheme="minorHAnsi"/>
                <w:color w:val="EE0000"/>
                <w:lang w:eastAsia="pt-BR"/>
              </w:rPr>
              <w:t>447329</w:t>
            </w:r>
          </w:p>
        </w:tc>
        <w:tc>
          <w:tcPr>
            <w:tcW w:w="2835" w:type="dxa"/>
            <w:tcBorders>
              <w:top w:val="nil"/>
              <w:left w:val="nil"/>
              <w:bottom w:val="single" w:color="auto" w:sz="4" w:space="0"/>
              <w:right w:val="single" w:color="auto" w:sz="4" w:space="0"/>
            </w:tcBorders>
            <w:vAlign w:val="center"/>
          </w:tcPr>
          <w:p w14:paraId="0AE3C209">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ORIGEM: ORGÂNICO, MATÉRIA PRIMA: PERICÁRDIO BOVINO, MODELO: RETO, DIÂMETRO: DIÂMETRO</w:t>
            </w:r>
            <w:r>
              <w:rPr>
                <w:rFonts w:eastAsia="Times New Roman" w:cstheme="minorHAnsi"/>
                <w:color w:val="EE0000"/>
                <w:lang w:eastAsia="pt-BR"/>
              </w:rPr>
              <w:br w:type="textWrapping"/>
            </w:r>
            <w:r>
              <w:rPr>
                <w:rFonts w:eastAsia="Times New Roman" w:cstheme="minorHAnsi"/>
                <w:color w:val="EE0000"/>
                <w:lang w:eastAsia="pt-BR"/>
              </w:rPr>
              <w:t>3 MM, COMPRIMENTO: 10 CM, CARACTERÍSTICAS ADICIONAIS:  S, GLUTARALDEÍDO, TIPO USO: USO ÚNICO, ESTÉRIL.MODELO L-Hydro PARA PEDIÁTRIA CERCA DE 11; 13; 15; E 17.</w:t>
            </w:r>
          </w:p>
        </w:tc>
        <w:tc>
          <w:tcPr>
            <w:tcW w:w="708" w:type="dxa"/>
            <w:tcBorders>
              <w:top w:val="nil"/>
              <w:left w:val="nil"/>
              <w:bottom w:val="single" w:color="auto" w:sz="4" w:space="0"/>
              <w:right w:val="single" w:color="auto" w:sz="4" w:space="0"/>
            </w:tcBorders>
            <w:vAlign w:val="center"/>
          </w:tcPr>
          <w:p w14:paraId="4CF381D9">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7A463B1F">
            <w:pPr>
              <w:spacing w:after="0" w:line="240" w:lineRule="auto"/>
              <w:jc w:val="center"/>
              <w:rPr>
                <w:rFonts w:eastAsia="Times New Roman" w:cstheme="minorHAnsi"/>
                <w:color w:val="EE0000"/>
                <w:lang w:eastAsia="pt-BR"/>
              </w:rPr>
            </w:pPr>
            <w:r>
              <w:rPr>
                <w:rFonts w:eastAsia="Times New Roman" w:cstheme="minorHAnsi"/>
                <w:color w:val="EE0000"/>
                <w:lang w:eastAsia="pt-BR"/>
              </w:rPr>
              <w:t>60</w:t>
            </w:r>
          </w:p>
        </w:tc>
        <w:tc>
          <w:tcPr>
            <w:tcW w:w="1215" w:type="dxa"/>
            <w:tcBorders>
              <w:top w:val="nil"/>
              <w:left w:val="nil"/>
              <w:bottom w:val="single" w:color="auto" w:sz="4" w:space="0"/>
              <w:right w:val="single" w:color="auto" w:sz="4" w:space="0"/>
            </w:tcBorders>
            <w:shd w:val="clear" w:color="000000" w:fill="FFFFFF"/>
            <w:vAlign w:val="center"/>
          </w:tcPr>
          <w:p w14:paraId="2A8B8912">
            <w:pPr>
              <w:spacing w:after="0" w:line="240" w:lineRule="auto"/>
              <w:jc w:val="center"/>
              <w:rPr>
                <w:rFonts w:eastAsia="Times New Roman" w:cstheme="minorHAnsi"/>
                <w:color w:val="EE0000"/>
                <w:lang w:eastAsia="pt-BR"/>
              </w:rPr>
            </w:pPr>
            <w:r>
              <w:rPr>
                <w:rFonts w:eastAsia="Times New Roman" w:cstheme="minorHAnsi"/>
                <w:color w:val="EE0000"/>
                <w:lang w:eastAsia="pt-BR"/>
              </w:rPr>
              <w:t>R$ 10.038,77</w:t>
            </w:r>
          </w:p>
        </w:tc>
        <w:tc>
          <w:tcPr>
            <w:tcW w:w="1560" w:type="dxa"/>
            <w:tcBorders>
              <w:top w:val="nil"/>
              <w:left w:val="nil"/>
              <w:bottom w:val="single" w:color="auto" w:sz="4" w:space="0"/>
              <w:right w:val="single" w:color="auto" w:sz="4" w:space="0"/>
            </w:tcBorders>
            <w:vAlign w:val="center"/>
          </w:tcPr>
          <w:p w14:paraId="666E000B">
            <w:pPr>
              <w:spacing w:after="0" w:line="240" w:lineRule="auto"/>
              <w:jc w:val="right"/>
              <w:rPr>
                <w:rFonts w:eastAsia="Times New Roman" w:cstheme="minorHAnsi"/>
                <w:color w:val="EE0000"/>
                <w:lang w:eastAsia="pt-BR"/>
              </w:rPr>
            </w:pPr>
            <w:r>
              <w:rPr>
                <w:rFonts w:eastAsia="Times New Roman" w:cstheme="minorHAnsi"/>
                <w:color w:val="EE0000"/>
                <w:lang w:eastAsia="pt-BR"/>
              </w:rPr>
              <w:t>R$ 602.326,20</w:t>
            </w:r>
          </w:p>
        </w:tc>
      </w:tr>
      <w:tr w14:paraId="54C64B18">
        <w:tblPrEx>
          <w:tblCellMar>
            <w:top w:w="0" w:type="dxa"/>
            <w:left w:w="70" w:type="dxa"/>
            <w:bottom w:w="0" w:type="dxa"/>
            <w:right w:w="70" w:type="dxa"/>
          </w:tblCellMar>
        </w:tblPrEx>
        <w:trPr>
          <w:trHeight w:val="2400" w:hRule="atLeast"/>
        </w:trPr>
        <w:tc>
          <w:tcPr>
            <w:tcW w:w="562" w:type="dxa"/>
            <w:tcBorders>
              <w:top w:val="nil"/>
              <w:left w:val="single" w:color="auto" w:sz="4" w:space="0"/>
              <w:bottom w:val="single" w:color="auto" w:sz="4" w:space="0"/>
              <w:right w:val="single" w:color="auto" w:sz="4" w:space="0"/>
            </w:tcBorders>
            <w:vAlign w:val="center"/>
          </w:tcPr>
          <w:p w14:paraId="432AE4A3">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2</w:t>
            </w:r>
          </w:p>
        </w:tc>
        <w:tc>
          <w:tcPr>
            <w:tcW w:w="851" w:type="dxa"/>
            <w:tcBorders>
              <w:top w:val="nil"/>
              <w:left w:val="nil"/>
              <w:bottom w:val="single" w:color="auto" w:sz="4" w:space="0"/>
              <w:right w:val="single" w:color="auto" w:sz="4" w:space="0"/>
            </w:tcBorders>
            <w:noWrap/>
            <w:vAlign w:val="center"/>
          </w:tcPr>
          <w:p w14:paraId="6E96993F">
            <w:pPr>
              <w:spacing w:after="0" w:line="240" w:lineRule="auto"/>
              <w:jc w:val="center"/>
              <w:rPr>
                <w:rFonts w:eastAsia="Times New Roman" w:cstheme="minorHAnsi"/>
                <w:color w:val="EE0000"/>
                <w:lang w:eastAsia="pt-BR"/>
              </w:rPr>
            </w:pPr>
            <w:r>
              <w:rPr>
                <w:rFonts w:eastAsia="Times New Roman" w:cstheme="minorHAnsi"/>
                <w:color w:val="EE0000"/>
                <w:lang w:eastAsia="pt-BR"/>
              </w:rPr>
              <w:t>455826</w:t>
            </w:r>
          </w:p>
        </w:tc>
        <w:tc>
          <w:tcPr>
            <w:tcW w:w="2835" w:type="dxa"/>
            <w:tcBorders>
              <w:top w:val="nil"/>
              <w:left w:val="nil"/>
              <w:bottom w:val="single" w:color="auto" w:sz="4" w:space="0"/>
              <w:right w:val="single" w:color="auto" w:sz="4" w:space="0"/>
            </w:tcBorders>
            <w:vAlign w:val="center"/>
          </w:tcPr>
          <w:p w14:paraId="01B16687">
            <w:pPr>
              <w:spacing w:after="0" w:line="240" w:lineRule="auto"/>
              <w:jc w:val="both"/>
              <w:rPr>
                <w:rFonts w:eastAsia="Times New Roman" w:cstheme="minorHAnsi"/>
                <w:color w:val="EE0000"/>
                <w:lang w:eastAsia="pt-BR"/>
              </w:rPr>
            </w:pPr>
            <w:r>
              <w:rPr>
                <w:rFonts w:eastAsia="Times New Roman" w:cstheme="minorHAnsi"/>
                <w:color w:val="EE0000"/>
                <w:lang w:eastAsia="pt-BR"/>
              </w:rPr>
              <w:t>CONECTOR USO MÉDICO, APLICAÇÃO: P/ CIRCULAÇÃO EXTRACORPÓREA  (CEC), MATERIAL: POLICARBONATO MODELO: TUBULAR, FORMATO: RETO, DIÂMETRO A: 1/2 X 1/2 POL, TIPO USO: CONECTOR NA POSIÇÃO VENOSA, PARA PROMOVER LEITURA DE HEMATÓCRITO, SATURAÇÃO VENOSA E TEMPERATURA. USO UNICO. CONSIDERAR COMPATIBILIDADE COM SISTEMA DE MONITORIZAÇÃO  BCAPTA, MÁQUINA EXTRACORPOREA LIVANOVA</w:t>
            </w:r>
          </w:p>
        </w:tc>
        <w:tc>
          <w:tcPr>
            <w:tcW w:w="708" w:type="dxa"/>
            <w:tcBorders>
              <w:top w:val="nil"/>
              <w:left w:val="nil"/>
              <w:bottom w:val="single" w:color="auto" w:sz="4" w:space="0"/>
              <w:right w:val="single" w:color="auto" w:sz="4" w:space="0"/>
            </w:tcBorders>
            <w:vAlign w:val="center"/>
          </w:tcPr>
          <w:p w14:paraId="2AF9FD3D">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26EEF5A8">
            <w:pPr>
              <w:spacing w:after="0" w:line="240" w:lineRule="auto"/>
              <w:jc w:val="center"/>
              <w:rPr>
                <w:rFonts w:eastAsia="Times New Roman" w:cstheme="minorHAnsi"/>
                <w:color w:val="EE0000"/>
                <w:lang w:eastAsia="pt-BR"/>
              </w:rPr>
            </w:pPr>
            <w:r>
              <w:rPr>
                <w:rFonts w:eastAsia="Times New Roman" w:cstheme="minorHAnsi"/>
                <w:color w:val="EE0000"/>
                <w:lang w:eastAsia="pt-BR"/>
              </w:rPr>
              <w:t>2000</w:t>
            </w:r>
          </w:p>
        </w:tc>
        <w:tc>
          <w:tcPr>
            <w:tcW w:w="1215" w:type="dxa"/>
            <w:tcBorders>
              <w:top w:val="nil"/>
              <w:left w:val="nil"/>
              <w:bottom w:val="single" w:color="auto" w:sz="4" w:space="0"/>
              <w:right w:val="single" w:color="auto" w:sz="4" w:space="0"/>
            </w:tcBorders>
            <w:shd w:val="clear" w:color="000000" w:fill="FFFFFF"/>
            <w:vAlign w:val="center"/>
          </w:tcPr>
          <w:p w14:paraId="7207D664">
            <w:pPr>
              <w:spacing w:after="0" w:line="240" w:lineRule="auto"/>
              <w:jc w:val="center"/>
              <w:rPr>
                <w:rFonts w:eastAsia="Times New Roman" w:cstheme="minorHAnsi"/>
                <w:color w:val="EE0000"/>
                <w:lang w:eastAsia="pt-BR"/>
              </w:rPr>
            </w:pPr>
            <w:r>
              <w:rPr>
                <w:rFonts w:eastAsia="Times New Roman" w:cstheme="minorHAnsi"/>
                <w:color w:val="EE0000"/>
                <w:lang w:eastAsia="pt-BR"/>
              </w:rPr>
              <w:t>R$ 438,64</w:t>
            </w:r>
          </w:p>
        </w:tc>
        <w:tc>
          <w:tcPr>
            <w:tcW w:w="1560" w:type="dxa"/>
            <w:tcBorders>
              <w:top w:val="nil"/>
              <w:left w:val="nil"/>
              <w:bottom w:val="single" w:color="auto" w:sz="4" w:space="0"/>
              <w:right w:val="single" w:color="auto" w:sz="4" w:space="0"/>
            </w:tcBorders>
            <w:vAlign w:val="center"/>
          </w:tcPr>
          <w:p w14:paraId="06A57692">
            <w:pPr>
              <w:spacing w:after="0" w:line="240" w:lineRule="auto"/>
              <w:jc w:val="right"/>
              <w:rPr>
                <w:rFonts w:eastAsia="Times New Roman" w:cstheme="minorHAnsi"/>
                <w:color w:val="EE0000"/>
                <w:lang w:eastAsia="pt-BR"/>
              </w:rPr>
            </w:pPr>
            <w:r>
              <w:rPr>
                <w:rFonts w:eastAsia="Times New Roman" w:cstheme="minorHAnsi"/>
                <w:color w:val="EE0000"/>
                <w:lang w:eastAsia="pt-BR"/>
              </w:rPr>
              <w:t>R$ 877.280,00</w:t>
            </w:r>
          </w:p>
        </w:tc>
      </w:tr>
      <w:tr w14:paraId="7386FC5F">
        <w:tblPrEx>
          <w:tblCellMar>
            <w:top w:w="0" w:type="dxa"/>
            <w:left w:w="70" w:type="dxa"/>
            <w:bottom w:w="0" w:type="dxa"/>
            <w:right w:w="70" w:type="dxa"/>
          </w:tblCellMar>
        </w:tblPrEx>
        <w:trPr>
          <w:trHeight w:val="328" w:hRule="atLeast"/>
        </w:trPr>
        <w:tc>
          <w:tcPr>
            <w:tcW w:w="562" w:type="dxa"/>
            <w:tcBorders>
              <w:top w:val="nil"/>
              <w:left w:val="single" w:color="auto" w:sz="4" w:space="0"/>
              <w:bottom w:val="single" w:color="auto" w:sz="4" w:space="0"/>
              <w:right w:val="single" w:color="auto" w:sz="4" w:space="0"/>
            </w:tcBorders>
            <w:vAlign w:val="center"/>
          </w:tcPr>
          <w:p w14:paraId="6A054328">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3</w:t>
            </w:r>
          </w:p>
        </w:tc>
        <w:tc>
          <w:tcPr>
            <w:tcW w:w="851" w:type="dxa"/>
            <w:tcBorders>
              <w:top w:val="nil"/>
              <w:left w:val="nil"/>
              <w:bottom w:val="single" w:color="auto" w:sz="4" w:space="0"/>
              <w:right w:val="single" w:color="auto" w:sz="4" w:space="0"/>
            </w:tcBorders>
            <w:noWrap/>
            <w:vAlign w:val="center"/>
          </w:tcPr>
          <w:p w14:paraId="1F918D63">
            <w:pPr>
              <w:spacing w:after="0" w:line="240" w:lineRule="auto"/>
              <w:jc w:val="center"/>
              <w:rPr>
                <w:rFonts w:eastAsia="Times New Roman" w:cstheme="minorHAnsi"/>
                <w:color w:val="EE0000"/>
                <w:lang w:eastAsia="pt-BR"/>
              </w:rPr>
            </w:pPr>
            <w:r>
              <w:rPr>
                <w:rFonts w:eastAsia="Times New Roman" w:cstheme="minorHAnsi"/>
                <w:color w:val="EE0000"/>
                <w:lang w:eastAsia="pt-BR"/>
              </w:rPr>
              <w:t>455824</w:t>
            </w:r>
          </w:p>
        </w:tc>
        <w:tc>
          <w:tcPr>
            <w:tcW w:w="2835" w:type="dxa"/>
            <w:tcBorders>
              <w:top w:val="nil"/>
              <w:left w:val="nil"/>
              <w:bottom w:val="single" w:color="auto" w:sz="4" w:space="0"/>
              <w:right w:val="single" w:color="auto" w:sz="4" w:space="0"/>
            </w:tcBorders>
            <w:vAlign w:val="center"/>
          </w:tcPr>
          <w:p w14:paraId="6CF3F58A">
            <w:pPr>
              <w:spacing w:after="0" w:line="240" w:lineRule="auto"/>
              <w:jc w:val="both"/>
              <w:rPr>
                <w:rFonts w:eastAsia="Times New Roman" w:cstheme="minorHAnsi"/>
                <w:color w:val="EE0000"/>
                <w:lang w:eastAsia="pt-BR"/>
              </w:rPr>
            </w:pPr>
            <w:r>
              <w:rPr>
                <w:rFonts w:eastAsia="Times New Roman" w:cstheme="minorHAnsi"/>
                <w:color w:val="EE0000"/>
                <w:lang w:eastAsia="pt-BR"/>
              </w:rPr>
              <w:t>CONECTOR USO MÉDICO, APLICAÇÃO: P/ CIRCULAÇÃO EXTRACORPÓREA (CEC), MATERIAL 1: POLICARBONATO, MODELO: TUBULAR, FORMATO: RETO, DIÂMETRO A:3/8 X 3/8 POL, TIPO USO: USO CONECTOR NA POSIÇÃO VENOSA, PARA PROMOVER LEITURA DE HEMATÓCRITO, SATURAÇÃO VENOSA E TEMPERATURA. USO UNICO. CONSIDERAR COMPATIBILIDADE   COM   SISTEMA   DE</w:t>
            </w:r>
            <w:r>
              <w:rPr>
                <w:rFonts w:eastAsia="Times New Roman" w:cstheme="minorHAnsi"/>
                <w:color w:val="EE0000"/>
                <w:lang w:eastAsia="pt-BR"/>
              </w:rPr>
              <w:br w:type="textWrapping"/>
            </w:r>
            <w:r>
              <w:rPr>
                <w:rFonts w:eastAsia="Times New Roman" w:cstheme="minorHAnsi"/>
                <w:color w:val="EE0000"/>
                <w:lang w:eastAsia="pt-BR"/>
              </w:rPr>
              <w:t>MONITORIZAÇÃO BCAPTA, MÁQUINA EXTRACORPOREA LIVANOVA.</w:t>
            </w:r>
          </w:p>
        </w:tc>
        <w:tc>
          <w:tcPr>
            <w:tcW w:w="708" w:type="dxa"/>
            <w:tcBorders>
              <w:top w:val="nil"/>
              <w:left w:val="nil"/>
              <w:bottom w:val="single" w:color="auto" w:sz="4" w:space="0"/>
              <w:right w:val="single" w:color="auto" w:sz="4" w:space="0"/>
            </w:tcBorders>
            <w:vAlign w:val="center"/>
          </w:tcPr>
          <w:p w14:paraId="43D000A1">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5268FB7C">
            <w:pPr>
              <w:spacing w:after="0" w:line="240" w:lineRule="auto"/>
              <w:jc w:val="center"/>
              <w:rPr>
                <w:rFonts w:eastAsia="Times New Roman" w:cstheme="minorHAnsi"/>
                <w:color w:val="EE0000"/>
                <w:lang w:eastAsia="pt-BR"/>
              </w:rPr>
            </w:pPr>
            <w:r>
              <w:rPr>
                <w:rFonts w:eastAsia="Times New Roman" w:cstheme="minorHAnsi"/>
                <w:color w:val="EE0000"/>
                <w:lang w:eastAsia="pt-BR"/>
              </w:rPr>
              <w:t>800</w:t>
            </w:r>
          </w:p>
        </w:tc>
        <w:tc>
          <w:tcPr>
            <w:tcW w:w="1215" w:type="dxa"/>
            <w:tcBorders>
              <w:top w:val="nil"/>
              <w:left w:val="nil"/>
              <w:bottom w:val="single" w:color="auto" w:sz="4" w:space="0"/>
              <w:right w:val="single" w:color="auto" w:sz="4" w:space="0"/>
            </w:tcBorders>
            <w:shd w:val="clear" w:color="000000" w:fill="FFFFFF"/>
            <w:vAlign w:val="center"/>
          </w:tcPr>
          <w:p w14:paraId="7D1F01EA">
            <w:pPr>
              <w:spacing w:after="0" w:line="240" w:lineRule="auto"/>
              <w:jc w:val="center"/>
              <w:rPr>
                <w:rFonts w:eastAsia="Times New Roman" w:cstheme="minorHAnsi"/>
                <w:color w:val="EE0000"/>
                <w:lang w:eastAsia="pt-BR"/>
              </w:rPr>
            </w:pPr>
            <w:r>
              <w:rPr>
                <w:rFonts w:eastAsia="Times New Roman" w:cstheme="minorHAnsi"/>
                <w:color w:val="EE0000"/>
                <w:lang w:eastAsia="pt-BR"/>
              </w:rPr>
              <w:t>R$ 695,04</w:t>
            </w:r>
          </w:p>
        </w:tc>
        <w:tc>
          <w:tcPr>
            <w:tcW w:w="1560" w:type="dxa"/>
            <w:tcBorders>
              <w:top w:val="nil"/>
              <w:left w:val="nil"/>
              <w:bottom w:val="single" w:color="auto" w:sz="4" w:space="0"/>
              <w:right w:val="single" w:color="auto" w:sz="4" w:space="0"/>
            </w:tcBorders>
            <w:vAlign w:val="center"/>
          </w:tcPr>
          <w:p w14:paraId="6425CC94">
            <w:pPr>
              <w:spacing w:after="0" w:line="240" w:lineRule="auto"/>
              <w:jc w:val="right"/>
              <w:rPr>
                <w:rFonts w:eastAsia="Times New Roman" w:cstheme="minorHAnsi"/>
                <w:color w:val="EE0000"/>
                <w:lang w:eastAsia="pt-BR"/>
              </w:rPr>
            </w:pPr>
            <w:r>
              <w:rPr>
                <w:rFonts w:eastAsia="Times New Roman" w:cstheme="minorHAnsi"/>
                <w:color w:val="EE0000"/>
                <w:lang w:eastAsia="pt-BR"/>
              </w:rPr>
              <w:t>R$ 556.032,00</w:t>
            </w:r>
          </w:p>
        </w:tc>
      </w:tr>
      <w:tr w14:paraId="6724F4D4">
        <w:tblPrEx>
          <w:tblCellMar>
            <w:top w:w="0" w:type="dxa"/>
            <w:left w:w="70" w:type="dxa"/>
            <w:bottom w:w="0" w:type="dxa"/>
            <w:right w:w="70" w:type="dxa"/>
          </w:tblCellMar>
        </w:tblPrEx>
        <w:trPr>
          <w:trHeight w:val="2880" w:hRule="atLeast"/>
        </w:trPr>
        <w:tc>
          <w:tcPr>
            <w:tcW w:w="562" w:type="dxa"/>
            <w:tcBorders>
              <w:top w:val="nil"/>
              <w:left w:val="single" w:color="auto" w:sz="4" w:space="0"/>
              <w:bottom w:val="single" w:color="auto" w:sz="4" w:space="0"/>
              <w:right w:val="single" w:color="auto" w:sz="4" w:space="0"/>
            </w:tcBorders>
            <w:vAlign w:val="center"/>
          </w:tcPr>
          <w:p w14:paraId="514AC164">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4</w:t>
            </w:r>
          </w:p>
        </w:tc>
        <w:tc>
          <w:tcPr>
            <w:tcW w:w="851" w:type="dxa"/>
            <w:tcBorders>
              <w:top w:val="nil"/>
              <w:left w:val="nil"/>
              <w:bottom w:val="single" w:color="auto" w:sz="4" w:space="0"/>
              <w:right w:val="single" w:color="auto" w:sz="4" w:space="0"/>
            </w:tcBorders>
            <w:noWrap/>
            <w:vAlign w:val="center"/>
          </w:tcPr>
          <w:p w14:paraId="435EEE2F">
            <w:pPr>
              <w:spacing w:after="0" w:line="240" w:lineRule="auto"/>
              <w:jc w:val="center"/>
              <w:rPr>
                <w:rFonts w:eastAsia="Times New Roman" w:cstheme="minorHAnsi"/>
                <w:color w:val="EE0000"/>
                <w:lang w:eastAsia="pt-BR"/>
              </w:rPr>
            </w:pPr>
            <w:r>
              <w:rPr>
                <w:rFonts w:eastAsia="Times New Roman" w:cstheme="minorHAnsi"/>
                <w:color w:val="EE0000"/>
                <w:lang w:eastAsia="pt-BR"/>
              </w:rPr>
              <w:t>458689</w:t>
            </w:r>
          </w:p>
        </w:tc>
        <w:tc>
          <w:tcPr>
            <w:tcW w:w="2835" w:type="dxa"/>
            <w:tcBorders>
              <w:top w:val="nil"/>
              <w:left w:val="nil"/>
              <w:bottom w:val="single" w:color="auto" w:sz="4" w:space="0"/>
              <w:right w:val="single" w:color="auto" w:sz="4" w:space="0"/>
            </w:tcBorders>
            <w:vAlign w:val="center"/>
          </w:tcPr>
          <w:p w14:paraId="718A8531">
            <w:pPr>
              <w:spacing w:after="0" w:line="240" w:lineRule="auto"/>
              <w:jc w:val="both"/>
              <w:rPr>
                <w:rFonts w:eastAsia="Times New Roman" w:cstheme="minorHAnsi"/>
                <w:color w:val="EE0000"/>
                <w:lang w:eastAsia="pt-BR"/>
              </w:rPr>
            </w:pPr>
            <w:r>
              <w:rPr>
                <w:rFonts w:eastAsia="Times New Roman" w:cstheme="minorHAnsi"/>
                <w:color w:val="EE0000"/>
                <w:lang w:eastAsia="pt-BR"/>
              </w:rPr>
              <w:t>CONECTOR USO MÉDICO, APLICAÇÃO: P/ CIRCULAÇÃO EXTRACORPÓREA  (CEC), MATERIAL 1: POLICARBONATO, MODELO: TUBULAR, FORMATO: EM "Y", DIÂMETRO A:1/4 X 1/4 X 3/8 POL, TIPO USO: CONECTOR NA POSIÇÃO VENOSA, PARA PROMOVER LEITURA DE HEMATÓCRITO, SATURAÇÃO VENOSA E TEMPERATURA. USO UNICO. CONSIDERAR COMPATIBILIDADE COM SISTEMA DE MONITORIZAÇÃO  BCAPTA, MÁQUINA</w:t>
            </w:r>
            <w:r>
              <w:rPr>
                <w:rFonts w:eastAsia="Times New Roman" w:cstheme="minorHAnsi"/>
                <w:color w:val="EE0000"/>
                <w:lang w:eastAsia="pt-BR"/>
              </w:rPr>
              <w:br w:type="textWrapping"/>
            </w:r>
            <w:r>
              <w:rPr>
                <w:rFonts w:eastAsia="Times New Roman" w:cstheme="minorHAnsi"/>
                <w:color w:val="EE0000"/>
                <w:lang w:eastAsia="pt-BR"/>
              </w:rPr>
              <w:t>EXTRACORPOREA LIVANOVA</w:t>
            </w:r>
          </w:p>
        </w:tc>
        <w:tc>
          <w:tcPr>
            <w:tcW w:w="708" w:type="dxa"/>
            <w:tcBorders>
              <w:top w:val="nil"/>
              <w:left w:val="nil"/>
              <w:bottom w:val="single" w:color="auto" w:sz="4" w:space="0"/>
              <w:right w:val="single" w:color="auto" w:sz="4" w:space="0"/>
            </w:tcBorders>
            <w:vAlign w:val="center"/>
          </w:tcPr>
          <w:p w14:paraId="5AE6EF7C">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7E44792F">
            <w:pPr>
              <w:spacing w:after="0" w:line="240" w:lineRule="auto"/>
              <w:jc w:val="center"/>
              <w:rPr>
                <w:rFonts w:eastAsia="Times New Roman" w:cstheme="minorHAnsi"/>
                <w:color w:val="EE0000"/>
                <w:lang w:eastAsia="pt-BR"/>
              </w:rPr>
            </w:pPr>
            <w:r>
              <w:rPr>
                <w:rFonts w:eastAsia="Times New Roman" w:cstheme="minorHAnsi"/>
                <w:color w:val="EE0000"/>
                <w:lang w:eastAsia="pt-BR"/>
              </w:rPr>
              <w:t>1000</w:t>
            </w:r>
          </w:p>
        </w:tc>
        <w:tc>
          <w:tcPr>
            <w:tcW w:w="1215" w:type="dxa"/>
            <w:tcBorders>
              <w:top w:val="nil"/>
              <w:left w:val="nil"/>
              <w:bottom w:val="single" w:color="auto" w:sz="4" w:space="0"/>
              <w:right w:val="single" w:color="auto" w:sz="4" w:space="0"/>
            </w:tcBorders>
            <w:shd w:val="clear" w:color="000000" w:fill="FFFFFF"/>
            <w:vAlign w:val="center"/>
          </w:tcPr>
          <w:p w14:paraId="3291BF15">
            <w:pPr>
              <w:spacing w:after="0" w:line="240" w:lineRule="auto"/>
              <w:jc w:val="center"/>
              <w:rPr>
                <w:rFonts w:eastAsia="Times New Roman" w:cstheme="minorHAnsi"/>
                <w:color w:val="EE0000"/>
                <w:lang w:eastAsia="pt-BR"/>
              </w:rPr>
            </w:pPr>
            <w:r>
              <w:rPr>
                <w:rFonts w:eastAsia="Times New Roman" w:cstheme="minorHAnsi"/>
                <w:color w:val="EE0000"/>
                <w:lang w:eastAsia="pt-BR"/>
              </w:rPr>
              <w:t>R$ 438,64</w:t>
            </w:r>
          </w:p>
        </w:tc>
        <w:tc>
          <w:tcPr>
            <w:tcW w:w="1560" w:type="dxa"/>
            <w:tcBorders>
              <w:top w:val="nil"/>
              <w:left w:val="nil"/>
              <w:bottom w:val="single" w:color="auto" w:sz="4" w:space="0"/>
              <w:right w:val="single" w:color="auto" w:sz="4" w:space="0"/>
            </w:tcBorders>
            <w:vAlign w:val="center"/>
          </w:tcPr>
          <w:p w14:paraId="020D237D">
            <w:pPr>
              <w:spacing w:after="0" w:line="240" w:lineRule="auto"/>
              <w:jc w:val="right"/>
              <w:rPr>
                <w:rFonts w:eastAsia="Times New Roman" w:cstheme="minorHAnsi"/>
                <w:color w:val="EE0000"/>
                <w:lang w:eastAsia="pt-BR"/>
              </w:rPr>
            </w:pPr>
            <w:r>
              <w:rPr>
                <w:rFonts w:eastAsia="Times New Roman" w:cstheme="minorHAnsi"/>
                <w:color w:val="EE0000"/>
                <w:lang w:eastAsia="pt-BR"/>
              </w:rPr>
              <w:t>R$ 438.640,00</w:t>
            </w:r>
          </w:p>
        </w:tc>
      </w:tr>
      <w:tr w14:paraId="6809B64D">
        <w:tblPrEx>
          <w:tblCellMar>
            <w:top w:w="0" w:type="dxa"/>
            <w:left w:w="70" w:type="dxa"/>
            <w:bottom w:w="0" w:type="dxa"/>
            <w:right w:w="70" w:type="dxa"/>
          </w:tblCellMar>
        </w:tblPrEx>
        <w:trPr>
          <w:trHeight w:val="2400" w:hRule="atLeast"/>
        </w:trPr>
        <w:tc>
          <w:tcPr>
            <w:tcW w:w="562" w:type="dxa"/>
            <w:tcBorders>
              <w:top w:val="nil"/>
              <w:left w:val="single" w:color="auto" w:sz="4" w:space="0"/>
              <w:bottom w:val="single" w:color="auto" w:sz="4" w:space="0"/>
              <w:right w:val="single" w:color="auto" w:sz="4" w:space="0"/>
            </w:tcBorders>
            <w:vAlign w:val="center"/>
          </w:tcPr>
          <w:p w14:paraId="04DA2C75">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5</w:t>
            </w:r>
          </w:p>
        </w:tc>
        <w:tc>
          <w:tcPr>
            <w:tcW w:w="851" w:type="dxa"/>
            <w:tcBorders>
              <w:top w:val="nil"/>
              <w:left w:val="nil"/>
              <w:bottom w:val="single" w:color="auto" w:sz="4" w:space="0"/>
              <w:right w:val="single" w:color="auto" w:sz="4" w:space="0"/>
            </w:tcBorders>
            <w:noWrap/>
            <w:vAlign w:val="center"/>
          </w:tcPr>
          <w:p w14:paraId="7CA89996">
            <w:pPr>
              <w:spacing w:after="0" w:line="240" w:lineRule="auto"/>
              <w:jc w:val="center"/>
              <w:rPr>
                <w:rFonts w:eastAsia="Times New Roman" w:cstheme="minorHAnsi"/>
                <w:color w:val="EE0000"/>
                <w:lang w:eastAsia="pt-BR"/>
              </w:rPr>
            </w:pPr>
            <w:r>
              <w:rPr>
                <w:rFonts w:eastAsia="Times New Roman" w:cstheme="minorHAnsi"/>
                <w:color w:val="EE0000"/>
                <w:lang w:eastAsia="pt-BR"/>
              </w:rPr>
              <w:t>455824</w:t>
            </w:r>
          </w:p>
        </w:tc>
        <w:tc>
          <w:tcPr>
            <w:tcW w:w="2835" w:type="dxa"/>
            <w:tcBorders>
              <w:top w:val="nil"/>
              <w:left w:val="nil"/>
              <w:bottom w:val="single" w:color="auto" w:sz="4" w:space="0"/>
              <w:right w:val="single" w:color="auto" w:sz="4" w:space="0"/>
            </w:tcBorders>
            <w:vAlign w:val="center"/>
          </w:tcPr>
          <w:p w14:paraId="42AAF237">
            <w:pPr>
              <w:spacing w:after="0" w:line="240" w:lineRule="auto"/>
              <w:jc w:val="both"/>
              <w:rPr>
                <w:rFonts w:eastAsia="Times New Roman" w:cstheme="minorHAnsi"/>
                <w:color w:val="EE0000"/>
                <w:lang w:eastAsia="pt-BR"/>
              </w:rPr>
            </w:pPr>
            <w:r>
              <w:rPr>
                <w:rFonts w:eastAsia="Times New Roman" w:cstheme="minorHAnsi"/>
                <w:color w:val="EE0000"/>
                <w:lang w:eastAsia="pt-BR"/>
              </w:rPr>
              <w:t>CONECTOR USO MÉDICO, APLICAÇÃO: P/ CIRCULAÇÃO  EXTRACORPÓREA  (CEC), MATERIAL: POLICARBONATO, MODELO: TUBULAR, FORMATO: RETO, DIÂMETRO A: 3/8 X 3x8 POL, TIPO USO: CONECTOR NA POSIÇÃO ARTERIAL, PARA PROMOVER LEITURA DE PO2 ARTERIAL E TEMPERATURA. CONSIDERAR COMPATIBILIDADE COM SISTEMA DE MONITORIZAÇÃO  BCAPTA, MÁQUINA EXTRACORPOREA LIVANOVA</w:t>
            </w:r>
          </w:p>
        </w:tc>
        <w:tc>
          <w:tcPr>
            <w:tcW w:w="708" w:type="dxa"/>
            <w:tcBorders>
              <w:top w:val="nil"/>
              <w:left w:val="nil"/>
              <w:bottom w:val="single" w:color="auto" w:sz="4" w:space="0"/>
              <w:right w:val="single" w:color="auto" w:sz="4" w:space="0"/>
            </w:tcBorders>
            <w:vAlign w:val="center"/>
          </w:tcPr>
          <w:p w14:paraId="13BD20C8">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5F9F157E">
            <w:pPr>
              <w:spacing w:after="0" w:line="240" w:lineRule="auto"/>
              <w:jc w:val="center"/>
              <w:rPr>
                <w:rFonts w:eastAsia="Times New Roman" w:cstheme="minorHAnsi"/>
                <w:color w:val="EE0000"/>
                <w:lang w:eastAsia="pt-BR"/>
              </w:rPr>
            </w:pPr>
            <w:r>
              <w:rPr>
                <w:rFonts w:eastAsia="Times New Roman" w:cstheme="minorHAnsi"/>
                <w:color w:val="EE0000"/>
                <w:lang w:eastAsia="pt-BR"/>
              </w:rPr>
              <w:t>800</w:t>
            </w:r>
          </w:p>
        </w:tc>
        <w:tc>
          <w:tcPr>
            <w:tcW w:w="1215" w:type="dxa"/>
            <w:tcBorders>
              <w:top w:val="nil"/>
              <w:left w:val="nil"/>
              <w:bottom w:val="single" w:color="auto" w:sz="4" w:space="0"/>
              <w:right w:val="single" w:color="auto" w:sz="4" w:space="0"/>
            </w:tcBorders>
            <w:shd w:val="clear" w:color="000000" w:fill="FFFFFF"/>
            <w:vAlign w:val="center"/>
          </w:tcPr>
          <w:p w14:paraId="447EA136">
            <w:pPr>
              <w:spacing w:after="0" w:line="240" w:lineRule="auto"/>
              <w:jc w:val="center"/>
              <w:rPr>
                <w:rFonts w:eastAsia="Times New Roman" w:cstheme="minorHAnsi"/>
                <w:color w:val="EE0000"/>
                <w:lang w:eastAsia="pt-BR"/>
              </w:rPr>
            </w:pPr>
            <w:r>
              <w:rPr>
                <w:rFonts w:eastAsia="Times New Roman" w:cstheme="minorHAnsi"/>
                <w:color w:val="EE0000"/>
                <w:lang w:eastAsia="pt-BR"/>
              </w:rPr>
              <w:t>R$ 695,04</w:t>
            </w:r>
          </w:p>
        </w:tc>
        <w:tc>
          <w:tcPr>
            <w:tcW w:w="1560" w:type="dxa"/>
            <w:tcBorders>
              <w:top w:val="nil"/>
              <w:left w:val="nil"/>
              <w:bottom w:val="single" w:color="auto" w:sz="4" w:space="0"/>
              <w:right w:val="single" w:color="auto" w:sz="4" w:space="0"/>
            </w:tcBorders>
            <w:vAlign w:val="center"/>
          </w:tcPr>
          <w:p w14:paraId="18C8A19B">
            <w:pPr>
              <w:spacing w:after="0" w:line="240" w:lineRule="auto"/>
              <w:jc w:val="right"/>
              <w:rPr>
                <w:rFonts w:eastAsia="Times New Roman" w:cstheme="minorHAnsi"/>
                <w:color w:val="EE0000"/>
                <w:lang w:eastAsia="pt-BR"/>
              </w:rPr>
            </w:pPr>
            <w:r>
              <w:rPr>
                <w:rFonts w:eastAsia="Times New Roman" w:cstheme="minorHAnsi"/>
                <w:color w:val="EE0000"/>
                <w:lang w:eastAsia="pt-BR"/>
              </w:rPr>
              <w:t>R$ 556.032,00</w:t>
            </w:r>
          </w:p>
        </w:tc>
      </w:tr>
      <w:tr w14:paraId="5F780A0A">
        <w:tblPrEx>
          <w:tblCellMar>
            <w:top w:w="0" w:type="dxa"/>
            <w:left w:w="70" w:type="dxa"/>
            <w:bottom w:w="0" w:type="dxa"/>
            <w:right w:w="70" w:type="dxa"/>
          </w:tblCellMar>
        </w:tblPrEx>
        <w:trPr>
          <w:trHeight w:val="2400" w:hRule="atLeast"/>
        </w:trPr>
        <w:tc>
          <w:tcPr>
            <w:tcW w:w="562" w:type="dxa"/>
            <w:tcBorders>
              <w:top w:val="nil"/>
              <w:left w:val="single" w:color="auto" w:sz="4" w:space="0"/>
              <w:bottom w:val="single" w:color="auto" w:sz="4" w:space="0"/>
              <w:right w:val="single" w:color="auto" w:sz="4" w:space="0"/>
            </w:tcBorders>
            <w:vAlign w:val="center"/>
          </w:tcPr>
          <w:p w14:paraId="72011C13">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6</w:t>
            </w:r>
          </w:p>
        </w:tc>
        <w:tc>
          <w:tcPr>
            <w:tcW w:w="851" w:type="dxa"/>
            <w:tcBorders>
              <w:top w:val="nil"/>
              <w:left w:val="nil"/>
              <w:bottom w:val="single" w:color="auto" w:sz="4" w:space="0"/>
              <w:right w:val="single" w:color="auto" w:sz="4" w:space="0"/>
            </w:tcBorders>
            <w:noWrap/>
            <w:vAlign w:val="center"/>
          </w:tcPr>
          <w:p w14:paraId="76DDF315">
            <w:pPr>
              <w:spacing w:after="0" w:line="240" w:lineRule="auto"/>
              <w:jc w:val="center"/>
              <w:rPr>
                <w:rFonts w:eastAsia="Times New Roman" w:cstheme="minorHAnsi"/>
                <w:color w:val="EE0000"/>
                <w:lang w:eastAsia="pt-BR"/>
              </w:rPr>
            </w:pPr>
            <w:r>
              <w:rPr>
                <w:rFonts w:eastAsia="Times New Roman" w:cstheme="minorHAnsi"/>
                <w:color w:val="EE0000"/>
                <w:lang w:eastAsia="pt-BR"/>
              </w:rPr>
              <w:t>458811</w:t>
            </w:r>
          </w:p>
        </w:tc>
        <w:tc>
          <w:tcPr>
            <w:tcW w:w="2835" w:type="dxa"/>
            <w:tcBorders>
              <w:top w:val="nil"/>
              <w:left w:val="nil"/>
              <w:bottom w:val="single" w:color="auto" w:sz="4" w:space="0"/>
              <w:right w:val="single" w:color="auto" w:sz="4" w:space="0"/>
            </w:tcBorders>
            <w:vAlign w:val="center"/>
          </w:tcPr>
          <w:p w14:paraId="3A0D5570">
            <w:pPr>
              <w:spacing w:after="0" w:line="240" w:lineRule="auto"/>
              <w:jc w:val="both"/>
              <w:rPr>
                <w:rFonts w:eastAsia="Times New Roman" w:cstheme="minorHAnsi"/>
                <w:color w:val="EE0000"/>
                <w:lang w:eastAsia="pt-BR"/>
              </w:rPr>
            </w:pPr>
            <w:r>
              <w:rPr>
                <w:rFonts w:eastAsia="Times New Roman" w:cstheme="minorHAnsi"/>
                <w:color w:val="EE0000"/>
                <w:lang w:eastAsia="pt-BR"/>
              </w:rPr>
              <w:t>CONECTOR USO MÉDICO, APLICAÇÃO: P/ CIRCULAÇÃO EXTRACORPÓREA (CEC), MATERIAL: POLICARBONATO, MODELO: TUBULAR, FORMATO: RETO, DIÂMETRO A: 1/4 X 1/4 POL, TIPO USO: CONECTOR NA POSIÇÃO ARTERIAL, PARA PROMOVER LEITURA DE PO2 ARTERIAL E TEMPERATURA. USO UNICO. CONSIDERAR COMPATIBILIDADE COM SISTEMA DE MONITORIZAÇÃO BCAPTA, MÁQUINA EXTRACORPOREA LIVANOVA.</w:t>
            </w:r>
          </w:p>
        </w:tc>
        <w:tc>
          <w:tcPr>
            <w:tcW w:w="708" w:type="dxa"/>
            <w:tcBorders>
              <w:top w:val="nil"/>
              <w:left w:val="nil"/>
              <w:bottom w:val="single" w:color="auto" w:sz="4" w:space="0"/>
              <w:right w:val="single" w:color="auto" w:sz="4" w:space="0"/>
            </w:tcBorders>
            <w:vAlign w:val="center"/>
          </w:tcPr>
          <w:p w14:paraId="0ACD125B">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1DE1DDCB">
            <w:pPr>
              <w:spacing w:after="0" w:line="240" w:lineRule="auto"/>
              <w:jc w:val="center"/>
              <w:rPr>
                <w:rFonts w:eastAsia="Times New Roman" w:cstheme="minorHAnsi"/>
                <w:color w:val="EE0000"/>
                <w:lang w:eastAsia="pt-BR"/>
              </w:rPr>
            </w:pPr>
            <w:r>
              <w:rPr>
                <w:rFonts w:eastAsia="Times New Roman" w:cstheme="minorHAnsi"/>
                <w:color w:val="EE0000"/>
                <w:lang w:eastAsia="pt-BR"/>
              </w:rPr>
              <w:t>1000</w:t>
            </w:r>
          </w:p>
        </w:tc>
        <w:tc>
          <w:tcPr>
            <w:tcW w:w="1215" w:type="dxa"/>
            <w:tcBorders>
              <w:top w:val="nil"/>
              <w:left w:val="nil"/>
              <w:bottom w:val="single" w:color="auto" w:sz="4" w:space="0"/>
              <w:right w:val="single" w:color="auto" w:sz="4" w:space="0"/>
            </w:tcBorders>
            <w:shd w:val="clear" w:color="000000" w:fill="FFFFFF"/>
            <w:vAlign w:val="center"/>
          </w:tcPr>
          <w:p w14:paraId="4533DB0F">
            <w:pPr>
              <w:spacing w:after="0" w:line="240" w:lineRule="auto"/>
              <w:jc w:val="center"/>
              <w:rPr>
                <w:rFonts w:eastAsia="Times New Roman" w:cstheme="minorHAnsi"/>
                <w:color w:val="EE0000"/>
                <w:lang w:eastAsia="pt-BR"/>
              </w:rPr>
            </w:pPr>
            <w:r>
              <w:rPr>
                <w:rFonts w:eastAsia="Times New Roman" w:cstheme="minorHAnsi"/>
                <w:color w:val="EE0000"/>
                <w:lang w:eastAsia="pt-BR"/>
              </w:rPr>
              <w:t>R$ 578,07</w:t>
            </w:r>
          </w:p>
        </w:tc>
        <w:tc>
          <w:tcPr>
            <w:tcW w:w="1560" w:type="dxa"/>
            <w:tcBorders>
              <w:top w:val="nil"/>
              <w:left w:val="nil"/>
              <w:bottom w:val="single" w:color="auto" w:sz="4" w:space="0"/>
              <w:right w:val="single" w:color="auto" w:sz="4" w:space="0"/>
            </w:tcBorders>
            <w:vAlign w:val="center"/>
          </w:tcPr>
          <w:p w14:paraId="15964F31">
            <w:pPr>
              <w:spacing w:after="0" w:line="240" w:lineRule="auto"/>
              <w:jc w:val="right"/>
              <w:rPr>
                <w:rFonts w:eastAsia="Times New Roman" w:cstheme="minorHAnsi"/>
                <w:color w:val="EE0000"/>
                <w:lang w:eastAsia="pt-BR"/>
              </w:rPr>
            </w:pPr>
            <w:r>
              <w:rPr>
                <w:rFonts w:eastAsia="Times New Roman" w:cstheme="minorHAnsi"/>
                <w:color w:val="EE0000"/>
                <w:lang w:eastAsia="pt-BR"/>
              </w:rPr>
              <w:t>R$ 578.070,00</w:t>
            </w:r>
          </w:p>
        </w:tc>
      </w:tr>
      <w:tr w14:paraId="0259E4F0">
        <w:tblPrEx>
          <w:tblCellMar>
            <w:top w:w="0" w:type="dxa"/>
            <w:left w:w="70" w:type="dxa"/>
            <w:bottom w:w="0" w:type="dxa"/>
            <w:right w:w="70" w:type="dxa"/>
          </w:tblCellMar>
        </w:tblPrEx>
        <w:trPr>
          <w:trHeight w:val="2640" w:hRule="atLeast"/>
        </w:trPr>
        <w:tc>
          <w:tcPr>
            <w:tcW w:w="562" w:type="dxa"/>
            <w:tcBorders>
              <w:top w:val="nil"/>
              <w:left w:val="single" w:color="auto" w:sz="4" w:space="0"/>
              <w:bottom w:val="single" w:color="auto" w:sz="4" w:space="0"/>
              <w:right w:val="single" w:color="auto" w:sz="4" w:space="0"/>
            </w:tcBorders>
            <w:vAlign w:val="center"/>
          </w:tcPr>
          <w:p w14:paraId="164AB11B">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7</w:t>
            </w:r>
          </w:p>
        </w:tc>
        <w:tc>
          <w:tcPr>
            <w:tcW w:w="851" w:type="dxa"/>
            <w:tcBorders>
              <w:top w:val="nil"/>
              <w:left w:val="nil"/>
              <w:bottom w:val="single" w:color="auto" w:sz="4" w:space="0"/>
              <w:right w:val="single" w:color="auto" w:sz="4" w:space="0"/>
            </w:tcBorders>
            <w:noWrap/>
            <w:vAlign w:val="center"/>
          </w:tcPr>
          <w:p w14:paraId="30CA9ABC">
            <w:pPr>
              <w:spacing w:after="0" w:line="240" w:lineRule="auto"/>
              <w:jc w:val="center"/>
              <w:rPr>
                <w:rFonts w:eastAsia="Times New Roman" w:cstheme="minorHAnsi"/>
                <w:color w:val="EE0000"/>
                <w:lang w:eastAsia="pt-BR"/>
              </w:rPr>
            </w:pPr>
            <w:r>
              <w:rPr>
                <w:rFonts w:eastAsia="Times New Roman" w:cstheme="minorHAnsi"/>
                <w:color w:val="EE0000"/>
                <w:lang w:eastAsia="pt-BR"/>
              </w:rPr>
              <w:t>455801</w:t>
            </w:r>
          </w:p>
        </w:tc>
        <w:tc>
          <w:tcPr>
            <w:tcW w:w="2835" w:type="dxa"/>
            <w:tcBorders>
              <w:top w:val="nil"/>
              <w:left w:val="nil"/>
              <w:bottom w:val="single" w:color="auto" w:sz="4" w:space="0"/>
              <w:right w:val="single" w:color="auto" w:sz="4" w:space="0"/>
            </w:tcBorders>
            <w:vAlign w:val="center"/>
          </w:tcPr>
          <w:p w14:paraId="4744352E">
            <w:pPr>
              <w:spacing w:after="0" w:line="240" w:lineRule="auto"/>
              <w:jc w:val="both"/>
              <w:rPr>
                <w:rFonts w:eastAsia="Times New Roman" w:cstheme="minorHAnsi"/>
                <w:color w:val="EE0000"/>
                <w:lang w:eastAsia="pt-BR"/>
              </w:rPr>
            </w:pPr>
            <w:r>
              <w:rPr>
                <w:rFonts w:eastAsia="Times New Roman" w:cstheme="minorHAnsi"/>
                <w:color w:val="EE0000"/>
                <w:lang w:eastAsia="pt-BR"/>
              </w:rPr>
              <w:t>CONECTOR USO MÉDICO, APLICAÇÃO/ CIRCULAÇÃO EXTRACORPÓREA (CEC), MATERIAL: PLÁSTICO. DESCARTÁVEL PARA AUXILIAR NA DETECÇÃO DE NIVEL CRÍTICO DE SANGUE NO RESERVATÓRIO VENOSO DO OXIGENADOR DE MEMBRANA. USO ÚNICO CONSIDERAR CONECTOR MODELO SENSOR DE NIVEL COMPATIBILIDADE COM MODULO DE NIVEL VERSÃO DE SOFTWARE 4.0 PARA MÁQUINA EXTRA CORPÓREA LIVANOVA, MODELO STOCKERT S5</w:t>
            </w:r>
          </w:p>
        </w:tc>
        <w:tc>
          <w:tcPr>
            <w:tcW w:w="708" w:type="dxa"/>
            <w:tcBorders>
              <w:top w:val="nil"/>
              <w:left w:val="nil"/>
              <w:bottom w:val="single" w:color="auto" w:sz="4" w:space="0"/>
              <w:right w:val="single" w:color="auto" w:sz="4" w:space="0"/>
            </w:tcBorders>
            <w:vAlign w:val="center"/>
          </w:tcPr>
          <w:p w14:paraId="290235D4">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vAlign w:val="center"/>
          </w:tcPr>
          <w:p w14:paraId="71B56325">
            <w:pPr>
              <w:spacing w:after="0" w:line="240" w:lineRule="auto"/>
              <w:jc w:val="center"/>
              <w:rPr>
                <w:rFonts w:eastAsia="Times New Roman" w:cstheme="minorHAnsi"/>
                <w:color w:val="EE0000"/>
                <w:lang w:eastAsia="pt-BR"/>
              </w:rPr>
            </w:pPr>
            <w:r>
              <w:rPr>
                <w:rFonts w:eastAsia="Times New Roman" w:cstheme="minorHAnsi"/>
                <w:color w:val="EE0000"/>
                <w:lang w:eastAsia="pt-BR"/>
              </w:rPr>
              <w:t>2000</w:t>
            </w:r>
          </w:p>
        </w:tc>
        <w:tc>
          <w:tcPr>
            <w:tcW w:w="1215" w:type="dxa"/>
            <w:tcBorders>
              <w:top w:val="nil"/>
              <w:left w:val="nil"/>
              <w:bottom w:val="single" w:color="auto" w:sz="4" w:space="0"/>
              <w:right w:val="single" w:color="auto" w:sz="4" w:space="0"/>
            </w:tcBorders>
            <w:shd w:val="clear" w:color="000000" w:fill="FFFFFF"/>
            <w:vAlign w:val="center"/>
          </w:tcPr>
          <w:p w14:paraId="6B04CA4C">
            <w:pPr>
              <w:spacing w:after="0" w:line="240" w:lineRule="auto"/>
              <w:jc w:val="center"/>
              <w:rPr>
                <w:rFonts w:eastAsia="Times New Roman" w:cstheme="minorHAnsi"/>
                <w:color w:val="EE0000"/>
                <w:lang w:eastAsia="pt-BR"/>
              </w:rPr>
            </w:pPr>
            <w:r>
              <w:rPr>
                <w:rFonts w:eastAsia="Times New Roman" w:cstheme="minorHAnsi"/>
                <w:color w:val="EE0000"/>
                <w:lang w:eastAsia="pt-BR"/>
              </w:rPr>
              <w:t>R$ 208,88</w:t>
            </w:r>
          </w:p>
        </w:tc>
        <w:tc>
          <w:tcPr>
            <w:tcW w:w="1560" w:type="dxa"/>
            <w:tcBorders>
              <w:top w:val="nil"/>
              <w:left w:val="nil"/>
              <w:bottom w:val="single" w:color="auto" w:sz="4" w:space="0"/>
              <w:right w:val="single" w:color="auto" w:sz="4" w:space="0"/>
            </w:tcBorders>
            <w:vAlign w:val="center"/>
          </w:tcPr>
          <w:p w14:paraId="6133D1D6">
            <w:pPr>
              <w:spacing w:after="0" w:line="240" w:lineRule="auto"/>
              <w:jc w:val="right"/>
              <w:rPr>
                <w:rFonts w:eastAsia="Times New Roman" w:cstheme="minorHAnsi"/>
                <w:color w:val="EE0000"/>
                <w:lang w:eastAsia="pt-BR"/>
              </w:rPr>
            </w:pPr>
            <w:r>
              <w:rPr>
                <w:rFonts w:eastAsia="Times New Roman" w:cstheme="minorHAnsi"/>
                <w:color w:val="EE0000"/>
                <w:lang w:eastAsia="pt-BR"/>
              </w:rPr>
              <w:t>R$ 417.760,00</w:t>
            </w:r>
          </w:p>
        </w:tc>
      </w:tr>
      <w:tr w14:paraId="131CA918">
        <w:tblPrEx>
          <w:tblCellMar>
            <w:top w:w="0" w:type="dxa"/>
            <w:left w:w="70" w:type="dxa"/>
            <w:bottom w:w="0" w:type="dxa"/>
            <w:right w:w="70" w:type="dxa"/>
          </w:tblCellMar>
        </w:tblPrEx>
        <w:trPr>
          <w:trHeight w:val="625" w:hRule="atLeast"/>
        </w:trPr>
        <w:tc>
          <w:tcPr>
            <w:tcW w:w="562" w:type="dxa"/>
            <w:tcBorders>
              <w:top w:val="nil"/>
              <w:left w:val="single" w:color="auto" w:sz="4" w:space="0"/>
              <w:bottom w:val="single" w:color="auto" w:sz="4" w:space="0"/>
              <w:right w:val="single" w:color="auto" w:sz="4" w:space="0"/>
            </w:tcBorders>
            <w:vAlign w:val="center"/>
          </w:tcPr>
          <w:p w14:paraId="41730BA4">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8</w:t>
            </w:r>
          </w:p>
        </w:tc>
        <w:tc>
          <w:tcPr>
            <w:tcW w:w="851" w:type="dxa"/>
            <w:tcBorders>
              <w:top w:val="nil"/>
              <w:left w:val="nil"/>
              <w:bottom w:val="single" w:color="auto" w:sz="4" w:space="0"/>
              <w:right w:val="single" w:color="auto" w:sz="4" w:space="0"/>
            </w:tcBorders>
            <w:noWrap/>
            <w:vAlign w:val="center"/>
          </w:tcPr>
          <w:p w14:paraId="0BCA0447">
            <w:pPr>
              <w:spacing w:after="0" w:line="240" w:lineRule="auto"/>
              <w:jc w:val="center"/>
              <w:rPr>
                <w:rFonts w:eastAsia="Times New Roman" w:cstheme="minorHAnsi"/>
                <w:color w:val="EE0000"/>
                <w:lang w:eastAsia="pt-BR"/>
              </w:rPr>
            </w:pPr>
            <w:r>
              <w:rPr>
                <w:rFonts w:eastAsia="Times New Roman" w:cstheme="minorHAnsi"/>
                <w:color w:val="EE0000"/>
                <w:lang w:eastAsia="pt-BR"/>
              </w:rPr>
              <w:t>442035</w:t>
            </w:r>
          </w:p>
        </w:tc>
        <w:tc>
          <w:tcPr>
            <w:tcW w:w="2835" w:type="dxa"/>
            <w:tcBorders>
              <w:top w:val="nil"/>
              <w:left w:val="nil"/>
              <w:bottom w:val="single" w:color="auto" w:sz="4" w:space="0"/>
              <w:right w:val="single" w:color="auto" w:sz="4" w:space="0"/>
            </w:tcBorders>
            <w:vAlign w:val="center"/>
          </w:tcPr>
          <w:p w14:paraId="36146ACB">
            <w:pPr>
              <w:spacing w:after="0" w:line="240" w:lineRule="auto"/>
              <w:jc w:val="both"/>
              <w:rPr>
                <w:rFonts w:eastAsia="Times New Roman" w:cstheme="minorHAnsi"/>
                <w:color w:val="EE0000"/>
                <w:lang w:eastAsia="pt-BR"/>
              </w:rPr>
            </w:pPr>
            <w:r>
              <w:rPr>
                <w:rFonts w:eastAsia="Times New Roman" w:cstheme="minorHAnsi"/>
                <w:color w:val="EE0000"/>
                <w:lang w:eastAsia="pt-BR"/>
              </w:rPr>
              <w:t>BOMBA CENTRÍFUGA CARDIOPULMONAR, APLICAÇÃO: PARA CEC E, OU CIRCULAÇÃO ASSISTIDA, CARACTERÍSTICAS ADICIONAIS: C, TAMBOR DE CENTRIFUGAÇÃO E CANAIS DE FLUXO, ESTERELIDADE: ESTÉRIL, DESCARTÁVEL.  CARACTERÍSTICAS ADICIONAIS: CONE E SENSOR MEDIDOR DE FLUXO. PRIMING; RECOBERTA COM BIOPOLÍMERO; ENTRADA E SAÍDA DE 1/4”.</w:t>
            </w:r>
          </w:p>
        </w:tc>
        <w:tc>
          <w:tcPr>
            <w:tcW w:w="708" w:type="dxa"/>
            <w:tcBorders>
              <w:top w:val="nil"/>
              <w:left w:val="nil"/>
              <w:bottom w:val="single" w:color="auto" w:sz="4" w:space="0"/>
              <w:right w:val="single" w:color="auto" w:sz="4" w:space="0"/>
            </w:tcBorders>
            <w:vAlign w:val="center"/>
          </w:tcPr>
          <w:p w14:paraId="49883038">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2D41050B">
            <w:pPr>
              <w:spacing w:after="0" w:line="240" w:lineRule="auto"/>
              <w:jc w:val="center"/>
              <w:rPr>
                <w:rFonts w:eastAsia="Times New Roman" w:cstheme="minorHAnsi"/>
                <w:color w:val="EE0000"/>
                <w:lang w:eastAsia="pt-BR"/>
              </w:rPr>
            </w:pPr>
            <w:r>
              <w:rPr>
                <w:rFonts w:eastAsia="Times New Roman" w:cstheme="minorHAnsi"/>
                <w:color w:val="EE0000"/>
                <w:lang w:eastAsia="pt-BR"/>
              </w:rPr>
              <w:t>120</w:t>
            </w:r>
          </w:p>
        </w:tc>
        <w:tc>
          <w:tcPr>
            <w:tcW w:w="1215" w:type="dxa"/>
            <w:tcBorders>
              <w:top w:val="nil"/>
              <w:left w:val="nil"/>
              <w:bottom w:val="single" w:color="auto" w:sz="4" w:space="0"/>
              <w:right w:val="single" w:color="auto" w:sz="4" w:space="0"/>
            </w:tcBorders>
            <w:shd w:val="clear" w:color="000000" w:fill="FFFFFF"/>
            <w:vAlign w:val="center"/>
          </w:tcPr>
          <w:p w14:paraId="530BC9AA">
            <w:pPr>
              <w:spacing w:after="0" w:line="240" w:lineRule="auto"/>
              <w:jc w:val="center"/>
              <w:rPr>
                <w:rFonts w:eastAsia="Times New Roman" w:cstheme="minorHAnsi"/>
                <w:color w:val="EE0000"/>
                <w:lang w:eastAsia="pt-BR"/>
              </w:rPr>
            </w:pPr>
            <w:r>
              <w:rPr>
                <w:rFonts w:eastAsia="Times New Roman" w:cstheme="minorHAnsi"/>
                <w:color w:val="EE0000"/>
                <w:lang w:eastAsia="pt-BR"/>
              </w:rPr>
              <w:t>R$ 729,00</w:t>
            </w:r>
          </w:p>
        </w:tc>
        <w:tc>
          <w:tcPr>
            <w:tcW w:w="1560" w:type="dxa"/>
            <w:tcBorders>
              <w:top w:val="nil"/>
              <w:left w:val="nil"/>
              <w:bottom w:val="single" w:color="auto" w:sz="4" w:space="0"/>
              <w:right w:val="single" w:color="auto" w:sz="4" w:space="0"/>
            </w:tcBorders>
            <w:vAlign w:val="center"/>
          </w:tcPr>
          <w:p w14:paraId="514107F6">
            <w:pPr>
              <w:spacing w:after="0" w:line="240" w:lineRule="auto"/>
              <w:jc w:val="right"/>
              <w:rPr>
                <w:rFonts w:eastAsia="Times New Roman" w:cstheme="minorHAnsi"/>
                <w:color w:val="EE0000"/>
                <w:lang w:eastAsia="pt-BR"/>
              </w:rPr>
            </w:pPr>
            <w:r>
              <w:rPr>
                <w:rFonts w:eastAsia="Times New Roman" w:cstheme="minorHAnsi"/>
                <w:color w:val="EE0000"/>
                <w:lang w:eastAsia="pt-BR"/>
              </w:rPr>
              <w:t>R$ 87.480,00</w:t>
            </w:r>
          </w:p>
        </w:tc>
      </w:tr>
      <w:tr w14:paraId="52C25D07">
        <w:tblPrEx>
          <w:tblCellMar>
            <w:top w:w="0" w:type="dxa"/>
            <w:left w:w="70" w:type="dxa"/>
            <w:bottom w:w="0" w:type="dxa"/>
            <w:right w:w="70" w:type="dxa"/>
          </w:tblCellMar>
        </w:tblPrEx>
        <w:trPr>
          <w:trHeight w:val="2160" w:hRule="atLeast"/>
        </w:trPr>
        <w:tc>
          <w:tcPr>
            <w:tcW w:w="562" w:type="dxa"/>
            <w:tcBorders>
              <w:top w:val="nil"/>
              <w:left w:val="single" w:color="auto" w:sz="4" w:space="0"/>
              <w:bottom w:val="single" w:color="auto" w:sz="4" w:space="0"/>
              <w:right w:val="single" w:color="auto" w:sz="4" w:space="0"/>
            </w:tcBorders>
            <w:vAlign w:val="center"/>
          </w:tcPr>
          <w:p w14:paraId="367993EF">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9</w:t>
            </w:r>
          </w:p>
        </w:tc>
        <w:tc>
          <w:tcPr>
            <w:tcW w:w="851" w:type="dxa"/>
            <w:tcBorders>
              <w:top w:val="nil"/>
              <w:left w:val="nil"/>
              <w:bottom w:val="single" w:color="auto" w:sz="4" w:space="0"/>
              <w:right w:val="single" w:color="auto" w:sz="4" w:space="0"/>
            </w:tcBorders>
            <w:noWrap/>
            <w:vAlign w:val="center"/>
          </w:tcPr>
          <w:p w14:paraId="14C4BE0D">
            <w:pPr>
              <w:spacing w:after="0" w:line="240" w:lineRule="auto"/>
              <w:jc w:val="center"/>
              <w:rPr>
                <w:rFonts w:eastAsia="Times New Roman" w:cstheme="minorHAnsi"/>
                <w:color w:val="EE0000"/>
                <w:lang w:eastAsia="pt-BR"/>
              </w:rPr>
            </w:pPr>
            <w:r>
              <w:rPr>
                <w:rFonts w:eastAsia="Times New Roman" w:cstheme="minorHAnsi"/>
                <w:color w:val="EE0000"/>
                <w:lang w:eastAsia="pt-BR"/>
              </w:rPr>
              <w:t>442035</w:t>
            </w:r>
          </w:p>
        </w:tc>
        <w:tc>
          <w:tcPr>
            <w:tcW w:w="2835" w:type="dxa"/>
            <w:tcBorders>
              <w:top w:val="nil"/>
              <w:left w:val="nil"/>
              <w:bottom w:val="single" w:color="auto" w:sz="4" w:space="0"/>
              <w:right w:val="single" w:color="auto" w:sz="4" w:space="0"/>
            </w:tcBorders>
            <w:vAlign w:val="center"/>
          </w:tcPr>
          <w:p w14:paraId="73C05060">
            <w:pPr>
              <w:spacing w:after="0" w:line="240" w:lineRule="auto"/>
              <w:jc w:val="both"/>
              <w:rPr>
                <w:rFonts w:eastAsia="Times New Roman" w:cstheme="minorHAnsi"/>
                <w:color w:val="EE0000"/>
                <w:lang w:eastAsia="pt-BR"/>
              </w:rPr>
            </w:pPr>
            <w:r>
              <w:rPr>
                <w:rFonts w:eastAsia="Times New Roman" w:cstheme="minorHAnsi"/>
                <w:color w:val="EE0000"/>
                <w:lang w:eastAsia="pt-BR"/>
              </w:rPr>
              <w:t>BOMBA CENTRÍFUGA CARDIOPULMONAR, APLICAÇÃO: PARA CEC E, OU CIRCULAÇÃO ASSISTIDA, CARACTERÍSTICAS ADICIONAIS: C, TAMBOR DE CENTRIFUGAÇÃO E CANAIS DE FLUXO, ESTERELIDADE: ESTÉRIL, DESCARTÁVEL.  CARACTERÍSTICAS ADICIONAIS: CONSIDERAR MODELO PARA ATENDER BOMBA CENTRIFUGA LIVANOVA, MODELO CP5. CÓD. SUS 07.02.05.001-6</w:t>
            </w:r>
          </w:p>
        </w:tc>
        <w:tc>
          <w:tcPr>
            <w:tcW w:w="708" w:type="dxa"/>
            <w:tcBorders>
              <w:top w:val="nil"/>
              <w:left w:val="nil"/>
              <w:bottom w:val="single" w:color="auto" w:sz="4" w:space="0"/>
              <w:right w:val="single" w:color="auto" w:sz="4" w:space="0"/>
            </w:tcBorders>
            <w:vAlign w:val="center"/>
          </w:tcPr>
          <w:p w14:paraId="7DE07253">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57E53262">
            <w:pPr>
              <w:spacing w:after="0" w:line="240" w:lineRule="auto"/>
              <w:jc w:val="center"/>
              <w:rPr>
                <w:rFonts w:eastAsia="Times New Roman" w:cstheme="minorHAnsi"/>
                <w:color w:val="EE0000"/>
                <w:lang w:eastAsia="pt-BR"/>
              </w:rPr>
            </w:pPr>
            <w:r>
              <w:rPr>
                <w:rFonts w:eastAsia="Times New Roman" w:cstheme="minorHAnsi"/>
                <w:color w:val="EE0000"/>
                <w:lang w:eastAsia="pt-BR"/>
              </w:rPr>
              <w:t>600</w:t>
            </w:r>
          </w:p>
        </w:tc>
        <w:tc>
          <w:tcPr>
            <w:tcW w:w="1215" w:type="dxa"/>
            <w:tcBorders>
              <w:top w:val="nil"/>
              <w:left w:val="nil"/>
              <w:bottom w:val="single" w:color="auto" w:sz="4" w:space="0"/>
              <w:right w:val="single" w:color="auto" w:sz="4" w:space="0"/>
            </w:tcBorders>
            <w:shd w:val="clear" w:color="000000" w:fill="FFFFFF"/>
            <w:vAlign w:val="center"/>
          </w:tcPr>
          <w:p w14:paraId="52025A61">
            <w:pPr>
              <w:spacing w:after="0" w:line="240" w:lineRule="auto"/>
              <w:jc w:val="center"/>
              <w:rPr>
                <w:rFonts w:eastAsia="Times New Roman" w:cstheme="minorHAnsi"/>
                <w:color w:val="EE0000"/>
                <w:lang w:eastAsia="pt-BR"/>
              </w:rPr>
            </w:pPr>
            <w:r>
              <w:rPr>
                <w:rFonts w:eastAsia="Times New Roman" w:cstheme="minorHAnsi"/>
                <w:color w:val="EE0000"/>
                <w:lang w:eastAsia="pt-BR"/>
              </w:rPr>
              <w:t>R$ 729,00</w:t>
            </w:r>
          </w:p>
        </w:tc>
        <w:tc>
          <w:tcPr>
            <w:tcW w:w="1560" w:type="dxa"/>
            <w:tcBorders>
              <w:top w:val="nil"/>
              <w:left w:val="nil"/>
              <w:bottom w:val="single" w:color="auto" w:sz="4" w:space="0"/>
              <w:right w:val="single" w:color="auto" w:sz="4" w:space="0"/>
            </w:tcBorders>
            <w:vAlign w:val="center"/>
          </w:tcPr>
          <w:p w14:paraId="262CE80D">
            <w:pPr>
              <w:spacing w:after="0" w:line="240" w:lineRule="auto"/>
              <w:jc w:val="right"/>
              <w:rPr>
                <w:rFonts w:eastAsia="Times New Roman" w:cstheme="minorHAnsi"/>
                <w:color w:val="EE0000"/>
                <w:lang w:eastAsia="pt-BR"/>
              </w:rPr>
            </w:pPr>
            <w:r>
              <w:rPr>
                <w:rFonts w:eastAsia="Times New Roman" w:cstheme="minorHAnsi"/>
                <w:color w:val="EE0000"/>
                <w:lang w:eastAsia="pt-BR"/>
              </w:rPr>
              <w:t>R$ 437.400,00</w:t>
            </w:r>
          </w:p>
        </w:tc>
      </w:tr>
      <w:tr w14:paraId="799168BE">
        <w:tblPrEx>
          <w:tblCellMar>
            <w:top w:w="0" w:type="dxa"/>
            <w:left w:w="70" w:type="dxa"/>
            <w:bottom w:w="0" w:type="dxa"/>
            <w:right w:w="70" w:type="dxa"/>
          </w:tblCellMar>
        </w:tblPrEx>
        <w:trPr>
          <w:trHeight w:val="2400" w:hRule="atLeast"/>
        </w:trPr>
        <w:tc>
          <w:tcPr>
            <w:tcW w:w="562" w:type="dxa"/>
            <w:tcBorders>
              <w:top w:val="nil"/>
              <w:left w:val="single" w:color="auto" w:sz="4" w:space="0"/>
              <w:bottom w:val="single" w:color="auto" w:sz="4" w:space="0"/>
              <w:right w:val="single" w:color="auto" w:sz="4" w:space="0"/>
            </w:tcBorders>
            <w:vAlign w:val="center"/>
          </w:tcPr>
          <w:p w14:paraId="7E3AE4C4">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10</w:t>
            </w:r>
          </w:p>
        </w:tc>
        <w:tc>
          <w:tcPr>
            <w:tcW w:w="851" w:type="dxa"/>
            <w:tcBorders>
              <w:top w:val="nil"/>
              <w:left w:val="nil"/>
              <w:bottom w:val="single" w:color="auto" w:sz="4" w:space="0"/>
              <w:right w:val="single" w:color="auto" w:sz="4" w:space="0"/>
            </w:tcBorders>
            <w:noWrap/>
            <w:vAlign w:val="center"/>
          </w:tcPr>
          <w:p w14:paraId="2AFF904D">
            <w:pPr>
              <w:spacing w:after="0" w:line="240" w:lineRule="auto"/>
              <w:jc w:val="center"/>
              <w:rPr>
                <w:rFonts w:eastAsia="Times New Roman" w:cstheme="minorHAnsi"/>
                <w:color w:val="EE0000"/>
                <w:lang w:eastAsia="pt-BR"/>
              </w:rPr>
            </w:pPr>
            <w:r>
              <w:rPr>
                <w:rFonts w:eastAsia="Times New Roman" w:cstheme="minorHAnsi"/>
                <w:color w:val="EE0000"/>
                <w:lang w:eastAsia="pt-BR"/>
              </w:rPr>
              <w:t>458645</w:t>
            </w:r>
          </w:p>
        </w:tc>
        <w:tc>
          <w:tcPr>
            <w:tcW w:w="2835" w:type="dxa"/>
            <w:tcBorders>
              <w:top w:val="nil"/>
              <w:left w:val="nil"/>
              <w:bottom w:val="single" w:color="auto" w:sz="4" w:space="0"/>
              <w:right w:val="single" w:color="auto" w:sz="4" w:space="0"/>
            </w:tcBorders>
            <w:vAlign w:val="center"/>
          </w:tcPr>
          <w:p w14:paraId="39F60C15">
            <w:pPr>
              <w:spacing w:after="0" w:line="240" w:lineRule="auto"/>
              <w:jc w:val="both"/>
              <w:rPr>
                <w:rFonts w:eastAsia="Times New Roman" w:cstheme="minorHAnsi"/>
                <w:color w:val="EE0000"/>
                <w:lang w:eastAsia="pt-BR"/>
              </w:rPr>
            </w:pPr>
            <w:r>
              <w:rPr>
                <w:rFonts w:eastAsia="Times New Roman" w:cstheme="minorHAnsi"/>
                <w:color w:val="EE0000"/>
                <w:lang w:eastAsia="pt-BR"/>
              </w:rPr>
              <w:t>CATETER P/ HEMODINÂMICA, MATERIAL: POLÍMERO, C/ REVESTIMENTO HIDROFÍLICO, TIPO CURVA: DE ENTREGA, COMPONENTE 2: C/ KIT INTRODUTOR, PONTA: PONTA METAL, DIÂMETRO: CERCA DE 6 FR X 120 CM, ESTERILIDADE ESTÉRIL L, USO ÚNICO. CARACTERISTICAS ADICIONAIS CATETER EXTENSOR DE CATETER GUIA PARA ANGIOPLASTIA CORONARIA COMPATIVEL COM 0,014, ATRAUMATICO</w:t>
            </w:r>
          </w:p>
        </w:tc>
        <w:tc>
          <w:tcPr>
            <w:tcW w:w="708" w:type="dxa"/>
            <w:tcBorders>
              <w:top w:val="nil"/>
              <w:left w:val="nil"/>
              <w:bottom w:val="single" w:color="auto" w:sz="4" w:space="0"/>
              <w:right w:val="single" w:color="auto" w:sz="4" w:space="0"/>
            </w:tcBorders>
            <w:vAlign w:val="center"/>
          </w:tcPr>
          <w:p w14:paraId="19AC50F4">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25ACFEA5">
            <w:pPr>
              <w:spacing w:after="0" w:line="240" w:lineRule="auto"/>
              <w:jc w:val="center"/>
              <w:rPr>
                <w:rFonts w:eastAsia="Times New Roman" w:cstheme="minorHAnsi"/>
                <w:color w:val="EE0000"/>
                <w:lang w:eastAsia="pt-BR"/>
              </w:rPr>
            </w:pPr>
            <w:r>
              <w:rPr>
                <w:rFonts w:eastAsia="Times New Roman" w:cstheme="minorHAnsi"/>
                <w:color w:val="EE0000"/>
                <w:lang w:eastAsia="pt-BR"/>
              </w:rPr>
              <w:t>30</w:t>
            </w:r>
          </w:p>
        </w:tc>
        <w:tc>
          <w:tcPr>
            <w:tcW w:w="1215" w:type="dxa"/>
            <w:tcBorders>
              <w:top w:val="nil"/>
              <w:left w:val="nil"/>
              <w:bottom w:val="single" w:color="auto" w:sz="4" w:space="0"/>
              <w:right w:val="single" w:color="auto" w:sz="4" w:space="0"/>
            </w:tcBorders>
            <w:shd w:val="clear" w:color="000000" w:fill="FFFFFF"/>
            <w:vAlign w:val="center"/>
          </w:tcPr>
          <w:p w14:paraId="594202F9">
            <w:pPr>
              <w:spacing w:after="0" w:line="240" w:lineRule="auto"/>
              <w:jc w:val="center"/>
              <w:rPr>
                <w:rFonts w:eastAsia="Times New Roman" w:cstheme="minorHAnsi"/>
                <w:color w:val="EE0000"/>
                <w:lang w:eastAsia="pt-BR"/>
              </w:rPr>
            </w:pPr>
            <w:r>
              <w:rPr>
                <w:rFonts w:eastAsia="Times New Roman" w:cstheme="minorHAnsi"/>
                <w:color w:val="EE0000"/>
                <w:lang w:eastAsia="pt-BR"/>
              </w:rPr>
              <w:t>R$ 1.356,67</w:t>
            </w:r>
          </w:p>
        </w:tc>
        <w:tc>
          <w:tcPr>
            <w:tcW w:w="1560" w:type="dxa"/>
            <w:tcBorders>
              <w:top w:val="nil"/>
              <w:left w:val="nil"/>
              <w:bottom w:val="single" w:color="auto" w:sz="4" w:space="0"/>
              <w:right w:val="single" w:color="auto" w:sz="4" w:space="0"/>
            </w:tcBorders>
            <w:vAlign w:val="center"/>
          </w:tcPr>
          <w:p w14:paraId="5E35D47E">
            <w:pPr>
              <w:spacing w:after="0" w:line="240" w:lineRule="auto"/>
              <w:jc w:val="right"/>
              <w:rPr>
                <w:rFonts w:eastAsia="Times New Roman" w:cstheme="minorHAnsi"/>
                <w:color w:val="EE0000"/>
                <w:lang w:eastAsia="pt-BR"/>
              </w:rPr>
            </w:pPr>
            <w:r>
              <w:rPr>
                <w:rFonts w:eastAsia="Times New Roman" w:cstheme="minorHAnsi"/>
                <w:color w:val="EE0000"/>
                <w:lang w:eastAsia="pt-BR"/>
              </w:rPr>
              <w:t>R$ 40.700,10</w:t>
            </w:r>
          </w:p>
        </w:tc>
      </w:tr>
      <w:tr w14:paraId="59DBE7CF">
        <w:tblPrEx>
          <w:tblCellMar>
            <w:top w:w="0" w:type="dxa"/>
            <w:left w:w="70" w:type="dxa"/>
            <w:bottom w:w="0" w:type="dxa"/>
            <w:right w:w="70" w:type="dxa"/>
          </w:tblCellMar>
        </w:tblPrEx>
        <w:trPr>
          <w:trHeight w:val="960" w:hRule="atLeast"/>
        </w:trPr>
        <w:tc>
          <w:tcPr>
            <w:tcW w:w="562" w:type="dxa"/>
            <w:tcBorders>
              <w:top w:val="nil"/>
              <w:left w:val="single" w:color="auto" w:sz="4" w:space="0"/>
              <w:bottom w:val="single" w:color="auto" w:sz="4" w:space="0"/>
              <w:right w:val="single" w:color="auto" w:sz="4" w:space="0"/>
            </w:tcBorders>
            <w:vAlign w:val="center"/>
          </w:tcPr>
          <w:p w14:paraId="590586FF">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11</w:t>
            </w:r>
          </w:p>
        </w:tc>
        <w:tc>
          <w:tcPr>
            <w:tcW w:w="851" w:type="dxa"/>
            <w:tcBorders>
              <w:top w:val="nil"/>
              <w:left w:val="nil"/>
              <w:bottom w:val="single" w:color="auto" w:sz="4" w:space="0"/>
              <w:right w:val="single" w:color="auto" w:sz="4" w:space="0"/>
            </w:tcBorders>
            <w:noWrap/>
            <w:vAlign w:val="center"/>
          </w:tcPr>
          <w:p w14:paraId="5C8D826E">
            <w:pPr>
              <w:spacing w:after="0" w:line="240" w:lineRule="auto"/>
              <w:jc w:val="center"/>
              <w:rPr>
                <w:rFonts w:eastAsia="Times New Roman" w:cstheme="minorHAnsi"/>
                <w:color w:val="EE0000"/>
                <w:lang w:eastAsia="pt-BR"/>
              </w:rPr>
            </w:pPr>
            <w:r>
              <w:rPr>
                <w:rFonts w:eastAsia="Times New Roman" w:cstheme="minorHAnsi"/>
                <w:color w:val="EE0000"/>
                <w:lang w:eastAsia="pt-BR"/>
              </w:rPr>
              <w:t>447351</w:t>
            </w:r>
          </w:p>
        </w:tc>
        <w:tc>
          <w:tcPr>
            <w:tcW w:w="2835" w:type="dxa"/>
            <w:tcBorders>
              <w:top w:val="nil"/>
              <w:left w:val="nil"/>
              <w:bottom w:val="single" w:color="auto" w:sz="4" w:space="0"/>
              <w:right w:val="single" w:color="auto" w:sz="4" w:space="0"/>
            </w:tcBorders>
            <w:vAlign w:val="center"/>
          </w:tcPr>
          <w:p w14:paraId="5DB5A8A6">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ORIGEM: INORGÂNICO, MATÉRIA PRIMA: PTFE, MODELO: RETO, DIÂMETRO: DIÂMETRO 20 MM, TIPO USO: USO ÚNICO, ESTÉRIL.</w:t>
            </w:r>
          </w:p>
        </w:tc>
        <w:tc>
          <w:tcPr>
            <w:tcW w:w="708" w:type="dxa"/>
            <w:tcBorders>
              <w:top w:val="nil"/>
              <w:left w:val="nil"/>
              <w:bottom w:val="single" w:color="auto" w:sz="4" w:space="0"/>
              <w:right w:val="single" w:color="auto" w:sz="4" w:space="0"/>
            </w:tcBorders>
            <w:vAlign w:val="center"/>
          </w:tcPr>
          <w:p w14:paraId="72BE8C2C">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649168FF">
            <w:pPr>
              <w:spacing w:after="0" w:line="240" w:lineRule="auto"/>
              <w:jc w:val="center"/>
              <w:rPr>
                <w:rFonts w:eastAsia="Times New Roman" w:cstheme="minorHAnsi"/>
                <w:color w:val="EE0000"/>
                <w:lang w:eastAsia="pt-BR"/>
              </w:rPr>
            </w:pPr>
            <w:r>
              <w:rPr>
                <w:rFonts w:eastAsia="Times New Roman" w:cstheme="minorHAnsi"/>
                <w:color w:val="EE0000"/>
                <w:lang w:eastAsia="pt-BR"/>
              </w:rPr>
              <w:t>40</w:t>
            </w:r>
          </w:p>
        </w:tc>
        <w:tc>
          <w:tcPr>
            <w:tcW w:w="1215" w:type="dxa"/>
            <w:tcBorders>
              <w:top w:val="nil"/>
              <w:left w:val="nil"/>
              <w:bottom w:val="single" w:color="auto" w:sz="4" w:space="0"/>
              <w:right w:val="single" w:color="auto" w:sz="4" w:space="0"/>
            </w:tcBorders>
            <w:shd w:val="clear" w:color="000000" w:fill="FFFFFF"/>
            <w:vAlign w:val="center"/>
          </w:tcPr>
          <w:p w14:paraId="556A9C3F">
            <w:pPr>
              <w:spacing w:after="0" w:line="240" w:lineRule="auto"/>
              <w:jc w:val="center"/>
              <w:rPr>
                <w:rFonts w:eastAsia="Times New Roman" w:cstheme="minorHAnsi"/>
                <w:color w:val="EE0000"/>
                <w:lang w:eastAsia="pt-BR"/>
              </w:rPr>
            </w:pPr>
            <w:r>
              <w:rPr>
                <w:rFonts w:eastAsia="Times New Roman" w:cstheme="minorHAnsi"/>
                <w:color w:val="EE0000"/>
                <w:lang w:eastAsia="pt-BR"/>
              </w:rPr>
              <w:t>R$ 7.059,00</w:t>
            </w:r>
          </w:p>
        </w:tc>
        <w:tc>
          <w:tcPr>
            <w:tcW w:w="1560" w:type="dxa"/>
            <w:tcBorders>
              <w:top w:val="nil"/>
              <w:left w:val="nil"/>
              <w:bottom w:val="single" w:color="auto" w:sz="4" w:space="0"/>
              <w:right w:val="single" w:color="auto" w:sz="4" w:space="0"/>
            </w:tcBorders>
            <w:vAlign w:val="center"/>
          </w:tcPr>
          <w:p w14:paraId="57DE9F5A">
            <w:pPr>
              <w:spacing w:after="0" w:line="240" w:lineRule="auto"/>
              <w:jc w:val="right"/>
              <w:rPr>
                <w:rFonts w:eastAsia="Times New Roman" w:cstheme="minorHAnsi"/>
                <w:color w:val="EE0000"/>
                <w:lang w:eastAsia="pt-BR"/>
              </w:rPr>
            </w:pPr>
            <w:r>
              <w:rPr>
                <w:rFonts w:eastAsia="Times New Roman" w:cstheme="minorHAnsi"/>
                <w:color w:val="EE0000"/>
                <w:lang w:eastAsia="pt-BR"/>
              </w:rPr>
              <w:t>R$ 282.360,00</w:t>
            </w:r>
          </w:p>
        </w:tc>
      </w:tr>
      <w:tr w14:paraId="1E2B43E1">
        <w:tblPrEx>
          <w:tblCellMar>
            <w:top w:w="0" w:type="dxa"/>
            <w:left w:w="70" w:type="dxa"/>
            <w:bottom w:w="0" w:type="dxa"/>
            <w:right w:w="70" w:type="dxa"/>
          </w:tblCellMar>
        </w:tblPrEx>
        <w:trPr>
          <w:trHeight w:val="1080" w:hRule="atLeast"/>
        </w:trPr>
        <w:tc>
          <w:tcPr>
            <w:tcW w:w="562" w:type="dxa"/>
            <w:tcBorders>
              <w:top w:val="nil"/>
              <w:left w:val="single" w:color="auto" w:sz="4" w:space="0"/>
              <w:bottom w:val="single" w:color="auto" w:sz="4" w:space="0"/>
              <w:right w:val="single" w:color="auto" w:sz="4" w:space="0"/>
            </w:tcBorders>
            <w:vAlign w:val="center"/>
          </w:tcPr>
          <w:p w14:paraId="2AAD24D3">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12</w:t>
            </w:r>
          </w:p>
        </w:tc>
        <w:tc>
          <w:tcPr>
            <w:tcW w:w="851" w:type="dxa"/>
            <w:tcBorders>
              <w:top w:val="nil"/>
              <w:left w:val="nil"/>
              <w:bottom w:val="single" w:color="auto" w:sz="4" w:space="0"/>
              <w:right w:val="single" w:color="auto" w:sz="4" w:space="0"/>
            </w:tcBorders>
            <w:noWrap/>
            <w:vAlign w:val="center"/>
          </w:tcPr>
          <w:p w14:paraId="26D589B8">
            <w:pPr>
              <w:spacing w:after="0" w:line="240" w:lineRule="auto"/>
              <w:jc w:val="center"/>
              <w:rPr>
                <w:rFonts w:eastAsia="Times New Roman" w:cstheme="minorHAnsi"/>
                <w:color w:val="EE0000"/>
                <w:lang w:eastAsia="pt-BR"/>
              </w:rPr>
            </w:pPr>
            <w:r>
              <w:rPr>
                <w:rFonts w:eastAsia="Times New Roman" w:cstheme="minorHAnsi"/>
                <w:color w:val="EE0000"/>
                <w:lang w:eastAsia="pt-BR"/>
              </w:rPr>
              <w:t>447350</w:t>
            </w:r>
          </w:p>
        </w:tc>
        <w:tc>
          <w:tcPr>
            <w:tcW w:w="2835" w:type="dxa"/>
            <w:tcBorders>
              <w:top w:val="nil"/>
              <w:left w:val="nil"/>
              <w:bottom w:val="single" w:color="auto" w:sz="4" w:space="0"/>
              <w:right w:val="single" w:color="auto" w:sz="4" w:space="0"/>
            </w:tcBorders>
            <w:vAlign w:val="center"/>
          </w:tcPr>
          <w:p w14:paraId="6B9FDE1F">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ORIGEM: INORGÂNICO, MATÉRIA PRIMA: PTFE, MODELO: RETO, DIÂMETRO: DIÂMETRO 18 MM, TIPO USO: USO ÚNICO, ESTÉRIL</w:t>
            </w:r>
          </w:p>
        </w:tc>
        <w:tc>
          <w:tcPr>
            <w:tcW w:w="708" w:type="dxa"/>
            <w:tcBorders>
              <w:top w:val="nil"/>
              <w:left w:val="nil"/>
              <w:bottom w:val="single" w:color="auto" w:sz="4" w:space="0"/>
              <w:right w:val="single" w:color="auto" w:sz="4" w:space="0"/>
            </w:tcBorders>
            <w:vAlign w:val="center"/>
          </w:tcPr>
          <w:p w14:paraId="70DA420B">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1BF2A1AB">
            <w:pPr>
              <w:spacing w:after="0" w:line="240" w:lineRule="auto"/>
              <w:jc w:val="center"/>
              <w:rPr>
                <w:rFonts w:eastAsia="Times New Roman" w:cstheme="minorHAnsi"/>
                <w:color w:val="EE0000"/>
                <w:lang w:eastAsia="pt-BR"/>
              </w:rPr>
            </w:pPr>
            <w:r>
              <w:rPr>
                <w:rFonts w:eastAsia="Times New Roman" w:cstheme="minorHAnsi"/>
                <w:color w:val="EE0000"/>
                <w:lang w:eastAsia="pt-BR"/>
              </w:rPr>
              <w:t>12</w:t>
            </w:r>
          </w:p>
        </w:tc>
        <w:tc>
          <w:tcPr>
            <w:tcW w:w="1215" w:type="dxa"/>
            <w:tcBorders>
              <w:top w:val="nil"/>
              <w:left w:val="nil"/>
              <w:bottom w:val="single" w:color="auto" w:sz="4" w:space="0"/>
              <w:right w:val="single" w:color="auto" w:sz="4" w:space="0"/>
            </w:tcBorders>
            <w:shd w:val="clear" w:color="000000" w:fill="FFFFFF"/>
            <w:vAlign w:val="center"/>
          </w:tcPr>
          <w:p w14:paraId="26A42616">
            <w:pPr>
              <w:spacing w:after="0" w:line="240" w:lineRule="auto"/>
              <w:jc w:val="center"/>
              <w:rPr>
                <w:rFonts w:eastAsia="Times New Roman" w:cstheme="minorHAnsi"/>
                <w:color w:val="EE0000"/>
                <w:lang w:eastAsia="pt-BR"/>
              </w:rPr>
            </w:pPr>
            <w:r>
              <w:rPr>
                <w:rFonts w:eastAsia="Times New Roman" w:cstheme="minorHAnsi"/>
                <w:color w:val="EE0000"/>
                <w:lang w:eastAsia="pt-BR"/>
              </w:rPr>
              <w:t>R$ 7.352,57</w:t>
            </w:r>
          </w:p>
        </w:tc>
        <w:tc>
          <w:tcPr>
            <w:tcW w:w="1560" w:type="dxa"/>
            <w:tcBorders>
              <w:top w:val="nil"/>
              <w:left w:val="nil"/>
              <w:bottom w:val="single" w:color="auto" w:sz="4" w:space="0"/>
              <w:right w:val="single" w:color="auto" w:sz="4" w:space="0"/>
            </w:tcBorders>
            <w:vAlign w:val="center"/>
          </w:tcPr>
          <w:p w14:paraId="584E7A5F">
            <w:pPr>
              <w:spacing w:after="0" w:line="240" w:lineRule="auto"/>
              <w:jc w:val="right"/>
              <w:rPr>
                <w:rFonts w:eastAsia="Times New Roman" w:cstheme="minorHAnsi"/>
                <w:color w:val="EE0000"/>
                <w:lang w:eastAsia="pt-BR"/>
              </w:rPr>
            </w:pPr>
            <w:r>
              <w:rPr>
                <w:rFonts w:eastAsia="Times New Roman" w:cstheme="minorHAnsi"/>
                <w:color w:val="EE0000"/>
                <w:lang w:eastAsia="pt-BR"/>
              </w:rPr>
              <w:t>R$ 88.230,84</w:t>
            </w:r>
          </w:p>
        </w:tc>
      </w:tr>
      <w:tr w14:paraId="15F29E17">
        <w:tblPrEx>
          <w:tblCellMar>
            <w:top w:w="0" w:type="dxa"/>
            <w:left w:w="70" w:type="dxa"/>
            <w:bottom w:w="0" w:type="dxa"/>
            <w:right w:w="70" w:type="dxa"/>
          </w:tblCellMar>
        </w:tblPrEx>
        <w:trPr>
          <w:trHeight w:val="1710" w:hRule="atLeast"/>
        </w:trPr>
        <w:tc>
          <w:tcPr>
            <w:tcW w:w="562" w:type="dxa"/>
            <w:tcBorders>
              <w:top w:val="nil"/>
              <w:left w:val="single" w:color="auto" w:sz="4" w:space="0"/>
              <w:bottom w:val="single" w:color="auto" w:sz="4" w:space="0"/>
              <w:right w:val="single" w:color="auto" w:sz="4" w:space="0"/>
            </w:tcBorders>
            <w:vAlign w:val="center"/>
          </w:tcPr>
          <w:p w14:paraId="2F36EF03">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13</w:t>
            </w:r>
          </w:p>
        </w:tc>
        <w:tc>
          <w:tcPr>
            <w:tcW w:w="851" w:type="dxa"/>
            <w:tcBorders>
              <w:top w:val="nil"/>
              <w:left w:val="nil"/>
              <w:bottom w:val="single" w:color="auto" w:sz="4" w:space="0"/>
              <w:right w:val="single" w:color="auto" w:sz="4" w:space="0"/>
            </w:tcBorders>
            <w:noWrap/>
            <w:vAlign w:val="center"/>
          </w:tcPr>
          <w:p w14:paraId="0927993E">
            <w:pPr>
              <w:spacing w:after="0" w:line="240" w:lineRule="auto"/>
              <w:jc w:val="center"/>
              <w:rPr>
                <w:rFonts w:eastAsia="Times New Roman" w:cstheme="minorHAnsi"/>
                <w:color w:val="EE0000"/>
                <w:lang w:eastAsia="pt-BR"/>
              </w:rPr>
            </w:pPr>
            <w:r>
              <w:rPr>
                <w:rFonts w:eastAsia="Times New Roman" w:cstheme="minorHAnsi"/>
                <w:color w:val="EE0000"/>
                <w:lang w:eastAsia="pt-BR"/>
              </w:rPr>
              <w:t>483841</w:t>
            </w:r>
          </w:p>
        </w:tc>
        <w:tc>
          <w:tcPr>
            <w:tcW w:w="2835" w:type="dxa"/>
            <w:tcBorders>
              <w:top w:val="nil"/>
              <w:left w:val="nil"/>
              <w:bottom w:val="single" w:color="auto" w:sz="4" w:space="0"/>
              <w:right w:val="single" w:color="auto" w:sz="4" w:space="0"/>
            </w:tcBorders>
            <w:vAlign w:val="center"/>
          </w:tcPr>
          <w:p w14:paraId="31712C2A">
            <w:pPr>
              <w:spacing w:after="0" w:line="240" w:lineRule="auto"/>
              <w:jc w:val="both"/>
              <w:rPr>
                <w:rFonts w:eastAsia="Times New Roman" w:cstheme="minorHAnsi"/>
                <w:color w:val="EE0000"/>
                <w:lang w:eastAsia="pt-BR"/>
              </w:rPr>
            </w:pPr>
            <w:r>
              <w:rPr>
                <w:rFonts w:eastAsia="Times New Roman" w:cstheme="minorHAnsi"/>
                <w:color w:val="EE0000"/>
                <w:lang w:eastAsia="pt-BR"/>
              </w:rPr>
              <w:t>FIXADOR P/ DISPOSITIVO MÉDICO APLICAÇÃO: P/ CATETER CENTRAL / PICC - USO S/ SUTURA MATERIAL: BASE ADESIVA DE NÃO TECIDO COMPONENTE ADICIONAL: C/ PRESILHA DE FIXAÇÃO TAMANHO: ADULTO TIPO USO: ESTÉRIL EMBALAGEM: EMBALAGEM INDIVIDUAL.</w:t>
            </w:r>
          </w:p>
        </w:tc>
        <w:tc>
          <w:tcPr>
            <w:tcW w:w="708" w:type="dxa"/>
            <w:tcBorders>
              <w:top w:val="nil"/>
              <w:left w:val="nil"/>
              <w:bottom w:val="single" w:color="auto" w:sz="4" w:space="0"/>
              <w:right w:val="single" w:color="auto" w:sz="4" w:space="0"/>
            </w:tcBorders>
            <w:vAlign w:val="center"/>
          </w:tcPr>
          <w:p w14:paraId="7583E243">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30EC6118">
            <w:pPr>
              <w:spacing w:after="0" w:line="240" w:lineRule="auto"/>
              <w:jc w:val="center"/>
              <w:rPr>
                <w:rFonts w:eastAsia="Times New Roman" w:cstheme="minorHAnsi"/>
                <w:color w:val="EE0000"/>
                <w:lang w:eastAsia="pt-BR"/>
              </w:rPr>
            </w:pPr>
            <w:r>
              <w:rPr>
                <w:rFonts w:eastAsia="Times New Roman" w:cstheme="minorHAnsi"/>
                <w:color w:val="EE0000"/>
                <w:lang w:eastAsia="pt-BR"/>
              </w:rPr>
              <w:t>600</w:t>
            </w:r>
          </w:p>
        </w:tc>
        <w:tc>
          <w:tcPr>
            <w:tcW w:w="1215" w:type="dxa"/>
            <w:tcBorders>
              <w:top w:val="nil"/>
              <w:left w:val="nil"/>
              <w:bottom w:val="single" w:color="auto" w:sz="4" w:space="0"/>
              <w:right w:val="single" w:color="auto" w:sz="4" w:space="0"/>
            </w:tcBorders>
            <w:shd w:val="clear" w:color="000000" w:fill="FFFFFF"/>
            <w:vAlign w:val="center"/>
          </w:tcPr>
          <w:p w14:paraId="1E69B2F2">
            <w:pPr>
              <w:spacing w:after="0" w:line="240" w:lineRule="auto"/>
              <w:jc w:val="center"/>
              <w:rPr>
                <w:rFonts w:eastAsia="Times New Roman" w:cstheme="minorHAnsi"/>
                <w:color w:val="EE0000"/>
                <w:lang w:eastAsia="pt-BR"/>
              </w:rPr>
            </w:pPr>
            <w:r>
              <w:rPr>
                <w:rFonts w:eastAsia="Times New Roman" w:cstheme="minorHAnsi"/>
                <w:color w:val="EE0000"/>
                <w:lang w:eastAsia="pt-BR"/>
              </w:rPr>
              <w:t>R$ 34,17</w:t>
            </w:r>
          </w:p>
        </w:tc>
        <w:tc>
          <w:tcPr>
            <w:tcW w:w="1560" w:type="dxa"/>
            <w:tcBorders>
              <w:top w:val="nil"/>
              <w:left w:val="nil"/>
              <w:bottom w:val="single" w:color="auto" w:sz="4" w:space="0"/>
              <w:right w:val="single" w:color="auto" w:sz="4" w:space="0"/>
            </w:tcBorders>
            <w:vAlign w:val="center"/>
          </w:tcPr>
          <w:p w14:paraId="00E02315">
            <w:pPr>
              <w:spacing w:after="0" w:line="240" w:lineRule="auto"/>
              <w:jc w:val="right"/>
              <w:rPr>
                <w:rFonts w:eastAsia="Times New Roman" w:cstheme="minorHAnsi"/>
                <w:color w:val="EE0000"/>
                <w:lang w:eastAsia="pt-BR"/>
              </w:rPr>
            </w:pPr>
            <w:r>
              <w:rPr>
                <w:rFonts w:eastAsia="Times New Roman" w:cstheme="minorHAnsi"/>
                <w:color w:val="EE0000"/>
                <w:lang w:eastAsia="pt-BR"/>
              </w:rPr>
              <w:t>R$ 20.502,00</w:t>
            </w:r>
          </w:p>
        </w:tc>
      </w:tr>
      <w:tr w14:paraId="3700802D">
        <w:tblPrEx>
          <w:tblCellMar>
            <w:top w:w="0" w:type="dxa"/>
            <w:left w:w="70" w:type="dxa"/>
            <w:bottom w:w="0" w:type="dxa"/>
            <w:right w:w="70" w:type="dxa"/>
          </w:tblCellMar>
        </w:tblPrEx>
        <w:trPr>
          <w:trHeight w:val="3120" w:hRule="atLeast"/>
        </w:trPr>
        <w:tc>
          <w:tcPr>
            <w:tcW w:w="562" w:type="dxa"/>
            <w:tcBorders>
              <w:top w:val="nil"/>
              <w:left w:val="single" w:color="auto" w:sz="4" w:space="0"/>
              <w:bottom w:val="single" w:color="auto" w:sz="4" w:space="0"/>
              <w:right w:val="single" w:color="auto" w:sz="4" w:space="0"/>
            </w:tcBorders>
            <w:vAlign w:val="center"/>
          </w:tcPr>
          <w:p w14:paraId="1BF42F0B">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14</w:t>
            </w:r>
          </w:p>
        </w:tc>
        <w:tc>
          <w:tcPr>
            <w:tcW w:w="851" w:type="dxa"/>
            <w:tcBorders>
              <w:top w:val="nil"/>
              <w:left w:val="nil"/>
              <w:bottom w:val="single" w:color="auto" w:sz="4" w:space="0"/>
              <w:right w:val="single" w:color="auto" w:sz="4" w:space="0"/>
            </w:tcBorders>
            <w:noWrap/>
            <w:vAlign w:val="center"/>
          </w:tcPr>
          <w:p w14:paraId="060C342E">
            <w:pPr>
              <w:spacing w:after="0" w:line="240" w:lineRule="auto"/>
              <w:jc w:val="center"/>
              <w:rPr>
                <w:rFonts w:eastAsia="Times New Roman" w:cstheme="minorHAnsi"/>
                <w:color w:val="EE0000"/>
                <w:lang w:eastAsia="pt-BR"/>
              </w:rPr>
            </w:pPr>
            <w:r>
              <w:rPr>
                <w:rFonts w:eastAsia="Times New Roman" w:cstheme="minorHAnsi"/>
                <w:color w:val="EE0000"/>
                <w:lang w:eastAsia="pt-BR"/>
              </w:rPr>
              <w:t>447234</w:t>
            </w:r>
          </w:p>
        </w:tc>
        <w:tc>
          <w:tcPr>
            <w:tcW w:w="2835" w:type="dxa"/>
            <w:tcBorders>
              <w:top w:val="nil"/>
              <w:left w:val="nil"/>
              <w:bottom w:val="single" w:color="auto" w:sz="4" w:space="0"/>
              <w:right w:val="single" w:color="auto" w:sz="4" w:space="0"/>
            </w:tcBorders>
            <w:vAlign w:val="center"/>
          </w:tcPr>
          <w:p w14:paraId="071B9BAB">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COMPOSTO, ORIGEM: INORGÂNICO, MATÉRIA PRIMA: DACRON, POLIÉSTER, COMPOSIÇÃO: IMPREGNADO C, COLÁGENO BOVINO, MODELO: RETO, POROSIDADE: ALTA POROSIDADE, DIÂMETRO: DIÂMETRO 22 MM, COMPRIMENTO:</w:t>
            </w:r>
            <w:r>
              <w:rPr>
                <w:rFonts w:eastAsia="Times New Roman" w:cstheme="minorHAnsi"/>
                <w:color w:val="EE0000"/>
                <w:lang w:eastAsia="pt-BR"/>
              </w:rPr>
              <w:br w:type="textWrapping"/>
            </w:r>
            <w:r>
              <w:rPr>
                <w:rFonts w:eastAsia="Times New Roman" w:cstheme="minorHAnsi"/>
                <w:color w:val="EE0000"/>
                <w:lang w:eastAsia="pt-BR"/>
              </w:rPr>
              <w:t>30 CM, TIPO USO: USO ÚNICO, ESTÉRIL CARACTERÍSTICAS ADICIONAIS: CONSIDERAR POROSIDADE PRÓXIMA A ZERO, TRANÇADO TIPO MALHA WOVEN, RESISTENTE A DILATAÇÃO, RECOBERTA COM COLÁGENO/GELATINA ABSORVÍVEL, DUPLO VELUDO</w:t>
            </w:r>
          </w:p>
        </w:tc>
        <w:tc>
          <w:tcPr>
            <w:tcW w:w="708" w:type="dxa"/>
            <w:tcBorders>
              <w:top w:val="nil"/>
              <w:left w:val="nil"/>
              <w:bottom w:val="single" w:color="auto" w:sz="4" w:space="0"/>
              <w:right w:val="single" w:color="auto" w:sz="4" w:space="0"/>
            </w:tcBorders>
            <w:vAlign w:val="center"/>
          </w:tcPr>
          <w:p w14:paraId="7E5D78CB">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7A028B3A">
            <w:pPr>
              <w:spacing w:after="0" w:line="240" w:lineRule="auto"/>
              <w:jc w:val="center"/>
              <w:rPr>
                <w:rFonts w:eastAsia="Times New Roman" w:cstheme="minorHAnsi"/>
                <w:color w:val="EE0000"/>
                <w:lang w:eastAsia="pt-BR"/>
              </w:rPr>
            </w:pPr>
            <w:r>
              <w:rPr>
                <w:rFonts w:eastAsia="Times New Roman" w:cstheme="minorHAnsi"/>
                <w:color w:val="EE0000"/>
                <w:lang w:eastAsia="pt-BR"/>
              </w:rPr>
              <w:t>100</w:t>
            </w:r>
          </w:p>
        </w:tc>
        <w:tc>
          <w:tcPr>
            <w:tcW w:w="1215" w:type="dxa"/>
            <w:tcBorders>
              <w:top w:val="nil"/>
              <w:left w:val="nil"/>
              <w:bottom w:val="single" w:color="auto" w:sz="4" w:space="0"/>
              <w:right w:val="single" w:color="auto" w:sz="4" w:space="0"/>
            </w:tcBorders>
            <w:shd w:val="clear" w:color="000000" w:fill="FFFFFF"/>
            <w:vAlign w:val="center"/>
          </w:tcPr>
          <w:p w14:paraId="72DB1486">
            <w:pPr>
              <w:spacing w:after="0" w:line="240" w:lineRule="auto"/>
              <w:jc w:val="center"/>
              <w:rPr>
                <w:rFonts w:eastAsia="Times New Roman" w:cstheme="minorHAnsi"/>
                <w:color w:val="EE0000"/>
                <w:lang w:eastAsia="pt-BR"/>
              </w:rPr>
            </w:pPr>
            <w:r>
              <w:rPr>
                <w:rFonts w:eastAsia="Times New Roman" w:cstheme="minorHAnsi"/>
                <w:color w:val="EE0000"/>
                <w:lang w:eastAsia="pt-BR"/>
              </w:rPr>
              <w:t>R$ 3.133,20</w:t>
            </w:r>
          </w:p>
        </w:tc>
        <w:tc>
          <w:tcPr>
            <w:tcW w:w="1560" w:type="dxa"/>
            <w:tcBorders>
              <w:top w:val="nil"/>
              <w:left w:val="nil"/>
              <w:bottom w:val="single" w:color="auto" w:sz="4" w:space="0"/>
              <w:right w:val="single" w:color="auto" w:sz="4" w:space="0"/>
            </w:tcBorders>
            <w:vAlign w:val="center"/>
          </w:tcPr>
          <w:p w14:paraId="49FBA390">
            <w:pPr>
              <w:spacing w:after="0" w:line="240" w:lineRule="auto"/>
              <w:jc w:val="right"/>
              <w:rPr>
                <w:rFonts w:eastAsia="Times New Roman" w:cstheme="minorHAnsi"/>
                <w:color w:val="EE0000"/>
                <w:lang w:eastAsia="pt-BR"/>
              </w:rPr>
            </w:pPr>
            <w:r>
              <w:rPr>
                <w:rFonts w:eastAsia="Times New Roman" w:cstheme="minorHAnsi"/>
                <w:color w:val="EE0000"/>
                <w:lang w:eastAsia="pt-BR"/>
              </w:rPr>
              <w:t>R$ 313.320,00</w:t>
            </w:r>
          </w:p>
        </w:tc>
      </w:tr>
      <w:tr w14:paraId="763AD3F7">
        <w:tblPrEx>
          <w:tblCellMar>
            <w:top w:w="0" w:type="dxa"/>
            <w:left w:w="70" w:type="dxa"/>
            <w:bottom w:w="0" w:type="dxa"/>
            <w:right w:w="70" w:type="dxa"/>
          </w:tblCellMar>
        </w:tblPrEx>
        <w:trPr>
          <w:trHeight w:val="3360" w:hRule="atLeast"/>
        </w:trPr>
        <w:tc>
          <w:tcPr>
            <w:tcW w:w="562" w:type="dxa"/>
            <w:tcBorders>
              <w:top w:val="nil"/>
              <w:left w:val="single" w:color="auto" w:sz="4" w:space="0"/>
              <w:bottom w:val="single" w:color="auto" w:sz="4" w:space="0"/>
              <w:right w:val="single" w:color="auto" w:sz="4" w:space="0"/>
            </w:tcBorders>
            <w:vAlign w:val="center"/>
          </w:tcPr>
          <w:p w14:paraId="34D3A3FC">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15</w:t>
            </w:r>
          </w:p>
        </w:tc>
        <w:tc>
          <w:tcPr>
            <w:tcW w:w="851" w:type="dxa"/>
            <w:tcBorders>
              <w:top w:val="nil"/>
              <w:left w:val="nil"/>
              <w:bottom w:val="single" w:color="auto" w:sz="4" w:space="0"/>
              <w:right w:val="single" w:color="auto" w:sz="4" w:space="0"/>
            </w:tcBorders>
            <w:noWrap/>
            <w:vAlign w:val="center"/>
          </w:tcPr>
          <w:p w14:paraId="39A7C932">
            <w:pPr>
              <w:spacing w:after="0" w:line="240" w:lineRule="auto"/>
              <w:jc w:val="center"/>
              <w:rPr>
                <w:rFonts w:eastAsia="Times New Roman" w:cstheme="minorHAnsi"/>
                <w:color w:val="EE0000"/>
                <w:lang w:eastAsia="pt-BR"/>
              </w:rPr>
            </w:pPr>
            <w:r>
              <w:rPr>
                <w:rFonts w:eastAsia="Times New Roman" w:cstheme="minorHAnsi"/>
                <w:color w:val="EE0000"/>
                <w:lang w:eastAsia="pt-BR"/>
              </w:rPr>
              <w:t>447219</w:t>
            </w:r>
          </w:p>
        </w:tc>
        <w:tc>
          <w:tcPr>
            <w:tcW w:w="2835" w:type="dxa"/>
            <w:tcBorders>
              <w:top w:val="nil"/>
              <w:left w:val="nil"/>
              <w:bottom w:val="single" w:color="auto" w:sz="4" w:space="0"/>
              <w:right w:val="single" w:color="auto" w:sz="4" w:space="0"/>
            </w:tcBorders>
            <w:vAlign w:val="bottom"/>
          </w:tcPr>
          <w:p w14:paraId="3633F36A">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COMPOSTO, ORIGEM: INORGÂNICO, MATÉRIA PRIMA: DACRON, POLIÉSTER, COMPOSIÇÃO: IMPREGNADO C, COLÁGENO BOVINO, MODELO: BIFURCADO, POROSIDADE: ALTA POROSIDADE, DIÂMETRO: DIÂMETRO 20 X 10 MM, COMPRIMENTO: 40 CM, TIPO USO: USO ÚNICO, ESTÉRIL. CARACTERÍSTICAS ADICIONAIS: CONSIDERAR POROSIDADE PRÓXIMA A ZERO, TRANÇADO TIPO MALHA WOVEN, RESISTENTE A DILATAÇÃO, RECOBERTA COM COLÁGENO/GELATINA ABSORVÍVEL, DUPLO</w:t>
            </w:r>
            <w:r>
              <w:rPr>
                <w:rFonts w:eastAsia="Times New Roman" w:cstheme="minorHAnsi"/>
                <w:color w:val="EE0000"/>
                <w:lang w:eastAsia="pt-BR"/>
              </w:rPr>
              <w:br w:type="textWrapping"/>
            </w:r>
            <w:r>
              <w:rPr>
                <w:rFonts w:eastAsia="Times New Roman" w:cstheme="minorHAnsi"/>
                <w:color w:val="EE0000"/>
                <w:lang w:eastAsia="pt-BR"/>
              </w:rPr>
              <w:t>VELUDO</w:t>
            </w:r>
          </w:p>
        </w:tc>
        <w:tc>
          <w:tcPr>
            <w:tcW w:w="708" w:type="dxa"/>
            <w:tcBorders>
              <w:top w:val="nil"/>
              <w:left w:val="nil"/>
              <w:bottom w:val="single" w:color="auto" w:sz="4" w:space="0"/>
              <w:right w:val="single" w:color="auto" w:sz="4" w:space="0"/>
            </w:tcBorders>
            <w:vAlign w:val="center"/>
          </w:tcPr>
          <w:p w14:paraId="682E15B4">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5FDE4DED">
            <w:pPr>
              <w:spacing w:after="0" w:line="240" w:lineRule="auto"/>
              <w:jc w:val="center"/>
              <w:rPr>
                <w:rFonts w:eastAsia="Times New Roman" w:cstheme="minorHAnsi"/>
                <w:color w:val="EE0000"/>
                <w:lang w:eastAsia="pt-BR"/>
              </w:rPr>
            </w:pPr>
            <w:r>
              <w:rPr>
                <w:rFonts w:eastAsia="Times New Roman" w:cstheme="minorHAnsi"/>
                <w:color w:val="EE0000"/>
                <w:lang w:eastAsia="pt-BR"/>
              </w:rPr>
              <w:t>60</w:t>
            </w:r>
          </w:p>
        </w:tc>
        <w:tc>
          <w:tcPr>
            <w:tcW w:w="1215" w:type="dxa"/>
            <w:tcBorders>
              <w:top w:val="nil"/>
              <w:left w:val="nil"/>
              <w:bottom w:val="single" w:color="auto" w:sz="4" w:space="0"/>
              <w:right w:val="single" w:color="auto" w:sz="4" w:space="0"/>
            </w:tcBorders>
            <w:shd w:val="clear" w:color="000000" w:fill="FFFFFF"/>
            <w:vAlign w:val="center"/>
          </w:tcPr>
          <w:p w14:paraId="12B8DBBF">
            <w:pPr>
              <w:spacing w:after="0" w:line="240" w:lineRule="auto"/>
              <w:jc w:val="center"/>
              <w:rPr>
                <w:rFonts w:eastAsia="Times New Roman" w:cstheme="minorHAnsi"/>
                <w:color w:val="EE0000"/>
                <w:lang w:eastAsia="pt-BR"/>
              </w:rPr>
            </w:pPr>
            <w:r>
              <w:rPr>
                <w:rFonts w:eastAsia="Times New Roman" w:cstheme="minorHAnsi"/>
                <w:color w:val="EE0000"/>
                <w:lang w:eastAsia="pt-BR"/>
              </w:rPr>
              <w:t>R$ 3.342,08</w:t>
            </w:r>
          </w:p>
        </w:tc>
        <w:tc>
          <w:tcPr>
            <w:tcW w:w="1560" w:type="dxa"/>
            <w:tcBorders>
              <w:top w:val="nil"/>
              <w:left w:val="nil"/>
              <w:bottom w:val="single" w:color="auto" w:sz="4" w:space="0"/>
              <w:right w:val="single" w:color="auto" w:sz="4" w:space="0"/>
            </w:tcBorders>
            <w:vAlign w:val="center"/>
          </w:tcPr>
          <w:p w14:paraId="21608239">
            <w:pPr>
              <w:spacing w:after="0" w:line="240" w:lineRule="auto"/>
              <w:jc w:val="right"/>
              <w:rPr>
                <w:rFonts w:eastAsia="Times New Roman" w:cstheme="minorHAnsi"/>
                <w:color w:val="EE0000"/>
                <w:lang w:eastAsia="pt-BR"/>
              </w:rPr>
            </w:pPr>
            <w:r>
              <w:rPr>
                <w:rFonts w:eastAsia="Times New Roman" w:cstheme="minorHAnsi"/>
                <w:color w:val="EE0000"/>
                <w:lang w:eastAsia="pt-BR"/>
              </w:rPr>
              <w:t>R$ 200.524,80</w:t>
            </w:r>
          </w:p>
        </w:tc>
      </w:tr>
      <w:tr w14:paraId="28CCD6A1">
        <w:tblPrEx>
          <w:tblCellMar>
            <w:top w:w="0" w:type="dxa"/>
            <w:left w:w="70" w:type="dxa"/>
            <w:bottom w:w="0" w:type="dxa"/>
            <w:right w:w="70" w:type="dxa"/>
          </w:tblCellMar>
        </w:tblPrEx>
        <w:trPr>
          <w:trHeight w:val="3360" w:hRule="atLeast"/>
        </w:trPr>
        <w:tc>
          <w:tcPr>
            <w:tcW w:w="562" w:type="dxa"/>
            <w:tcBorders>
              <w:top w:val="nil"/>
              <w:left w:val="single" w:color="auto" w:sz="4" w:space="0"/>
              <w:bottom w:val="single" w:color="auto" w:sz="4" w:space="0"/>
              <w:right w:val="single" w:color="auto" w:sz="4" w:space="0"/>
            </w:tcBorders>
            <w:vAlign w:val="center"/>
          </w:tcPr>
          <w:p w14:paraId="7FA29FF8">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16</w:t>
            </w:r>
          </w:p>
        </w:tc>
        <w:tc>
          <w:tcPr>
            <w:tcW w:w="851" w:type="dxa"/>
            <w:tcBorders>
              <w:top w:val="nil"/>
              <w:left w:val="nil"/>
              <w:bottom w:val="single" w:color="auto" w:sz="4" w:space="0"/>
              <w:right w:val="single" w:color="auto" w:sz="4" w:space="0"/>
            </w:tcBorders>
            <w:noWrap/>
            <w:vAlign w:val="center"/>
          </w:tcPr>
          <w:p w14:paraId="1D6381C6">
            <w:pPr>
              <w:spacing w:after="0" w:line="240" w:lineRule="auto"/>
              <w:jc w:val="center"/>
              <w:rPr>
                <w:rFonts w:eastAsia="Times New Roman" w:cstheme="minorHAnsi"/>
                <w:color w:val="EE0000"/>
                <w:lang w:eastAsia="pt-BR"/>
              </w:rPr>
            </w:pPr>
            <w:r>
              <w:rPr>
                <w:rFonts w:eastAsia="Times New Roman" w:cstheme="minorHAnsi"/>
                <w:color w:val="EE0000"/>
                <w:lang w:eastAsia="pt-BR"/>
              </w:rPr>
              <w:t>447229</w:t>
            </w:r>
          </w:p>
        </w:tc>
        <w:tc>
          <w:tcPr>
            <w:tcW w:w="2835" w:type="dxa"/>
            <w:tcBorders>
              <w:top w:val="nil"/>
              <w:left w:val="nil"/>
              <w:bottom w:val="single" w:color="auto" w:sz="4" w:space="0"/>
              <w:right w:val="single" w:color="auto" w:sz="4" w:space="0"/>
            </w:tcBorders>
            <w:vAlign w:val="center"/>
          </w:tcPr>
          <w:p w14:paraId="22DE5B02">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COMPOSTO, ORIGEM: INORGÂNICO, MATÉRIA PRIMA: DACRON, POLIÉSTER, COMPOSIÇÃO: IMPREGNADO C, COLÁGENO BOVINO, MODELO: RETO, POROSIDADE: ALTA POROSIDADE, DIÂMETRO: DIÂMETRO 6 MM, COMPRIMENTO: 60 CM, TIPO USO: USO ÚNICO, ESTÉRIL CARACTERÍSTICAS ADICIONAIS: CONSIDERAR POROSIDADE PRÓXIMA A ZERO, TRANÇADO TIPO MALHA WOVEN, RESISTENTE A   DILATAÇÃO,   RECOBERTA   COM</w:t>
            </w:r>
            <w:r>
              <w:rPr>
                <w:rFonts w:eastAsia="Times New Roman" w:cstheme="minorHAnsi"/>
                <w:color w:val="EE0000"/>
                <w:lang w:eastAsia="pt-BR"/>
              </w:rPr>
              <w:br w:type="textWrapping"/>
            </w:r>
            <w:r>
              <w:rPr>
                <w:rFonts w:eastAsia="Times New Roman" w:cstheme="minorHAnsi"/>
                <w:color w:val="EE0000"/>
                <w:lang w:eastAsia="pt-BR"/>
              </w:rPr>
              <w:t>COLÁGENO/GELATINA ABSORVÍVEL, DUPLO VELUDO</w:t>
            </w:r>
          </w:p>
        </w:tc>
        <w:tc>
          <w:tcPr>
            <w:tcW w:w="708" w:type="dxa"/>
            <w:tcBorders>
              <w:top w:val="nil"/>
              <w:left w:val="nil"/>
              <w:bottom w:val="single" w:color="auto" w:sz="4" w:space="0"/>
              <w:right w:val="single" w:color="auto" w:sz="4" w:space="0"/>
            </w:tcBorders>
            <w:vAlign w:val="center"/>
          </w:tcPr>
          <w:p w14:paraId="7EA904FF">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14192EAC">
            <w:pPr>
              <w:spacing w:after="0" w:line="240" w:lineRule="auto"/>
              <w:jc w:val="center"/>
              <w:rPr>
                <w:rFonts w:eastAsia="Times New Roman" w:cstheme="minorHAnsi"/>
                <w:color w:val="EE0000"/>
                <w:lang w:eastAsia="pt-BR"/>
              </w:rPr>
            </w:pPr>
            <w:r>
              <w:rPr>
                <w:rFonts w:eastAsia="Times New Roman" w:cstheme="minorHAnsi"/>
                <w:color w:val="EE0000"/>
                <w:lang w:eastAsia="pt-BR"/>
              </w:rPr>
              <w:t>100</w:t>
            </w:r>
          </w:p>
        </w:tc>
        <w:tc>
          <w:tcPr>
            <w:tcW w:w="1215" w:type="dxa"/>
            <w:tcBorders>
              <w:top w:val="nil"/>
              <w:left w:val="nil"/>
              <w:bottom w:val="single" w:color="auto" w:sz="4" w:space="0"/>
              <w:right w:val="single" w:color="auto" w:sz="4" w:space="0"/>
            </w:tcBorders>
            <w:shd w:val="clear" w:color="000000" w:fill="FFFFFF"/>
            <w:vAlign w:val="center"/>
          </w:tcPr>
          <w:p w14:paraId="38DD496C">
            <w:pPr>
              <w:spacing w:after="0" w:line="240" w:lineRule="auto"/>
              <w:jc w:val="center"/>
              <w:rPr>
                <w:rFonts w:eastAsia="Times New Roman" w:cstheme="minorHAnsi"/>
                <w:color w:val="EE0000"/>
                <w:lang w:eastAsia="pt-BR"/>
              </w:rPr>
            </w:pPr>
            <w:r>
              <w:rPr>
                <w:rFonts w:eastAsia="Times New Roman" w:cstheme="minorHAnsi"/>
                <w:color w:val="EE0000"/>
                <w:lang w:eastAsia="pt-BR"/>
              </w:rPr>
              <w:t>R$ 3.342,08</w:t>
            </w:r>
          </w:p>
        </w:tc>
        <w:tc>
          <w:tcPr>
            <w:tcW w:w="1560" w:type="dxa"/>
            <w:tcBorders>
              <w:top w:val="nil"/>
              <w:left w:val="nil"/>
              <w:bottom w:val="single" w:color="auto" w:sz="4" w:space="0"/>
              <w:right w:val="single" w:color="auto" w:sz="4" w:space="0"/>
            </w:tcBorders>
            <w:vAlign w:val="center"/>
          </w:tcPr>
          <w:p w14:paraId="0A3A638C">
            <w:pPr>
              <w:spacing w:after="0" w:line="240" w:lineRule="auto"/>
              <w:jc w:val="right"/>
              <w:rPr>
                <w:rFonts w:eastAsia="Times New Roman" w:cstheme="minorHAnsi"/>
                <w:color w:val="EE0000"/>
                <w:lang w:eastAsia="pt-BR"/>
              </w:rPr>
            </w:pPr>
            <w:r>
              <w:rPr>
                <w:rFonts w:eastAsia="Times New Roman" w:cstheme="minorHAnsi"/>
                <w:color w:val="EE0000"/>
                <w:lang w:eastAsia="pt-BR"/>
              </w:rPr>
              <w:t>R$ 334.208,00</w:t>
            </w:r>
          </w:p>
        </w:tc>
      </w:tr>
      <w:tr w14:paraId="1381A9B4">
        <w:tblPrEx>
          <w:tblCellMar>
            <w:top w:w="0" w:type="dxa"/>
            <w:left w:w="70" w:type="dxa"/>
            <w:bottom w:w="0" w:type="dxa"/>
            <w:right w:w="70" w:type="dxa"/>
          </w:tblCellMar>
        </w:tblPrEx>
        <w:trPr>
          <w:trHeight w:val="2880" w:hRule="atLeast"/>
        </w:trPr>
        <w:tc>
          <w:tcPr>
            <w:tcW w:w="562" w:type="dxa"/>
            <w:tcBorders>
              <w:top w:val="nil"/>
              <w:left w:val="single" w:color="auto" w:sz="4" w:space="0"/>
              <w:bottom w:val="single" w:color="auto" w:sz="4" w:space="0"/>
              <w:right w:val="single" w:color="auto" w:sz="4" w:space="0"/>
            </w:tcBorders>
            <w:vAlign w:val="center"/>
          </w:tcPr>
          <w:p w14:paraId="1549BFBF">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17</w:t>
            </w:r>
          </w:p>
        </w:tc>
        <w:tc>
          <w:tcPr>
            <w:tcW w:w="851" w:type="dxa"/>
            <w:tcBorders>
              <w:top w:val="nil"/>
              <w:left w:val="nil"/>
              <w:bottom w:val="single" w:color="auto" w:sz="4" w:space="0"/>
              <w:right w:val="single" w:color="auto" w:sz="4" w:space="0"/>
            </w:tcBorders>
            <w:noWrap/>
            <w:vAlign w:val="center"/>
          </w:tcPr>
          <w:p w14:paraId="5CA6F918">
            <w:pPr>
              <w:spacing w:after="0" w:line="240" w:lineRule="auto"/>
              <w:jc w:val="center"/>
              <w:rPr>
                <w:rFonts w:eastAsia="Times New Roman" w:cstheme="minorHAnsi"/>
                <w:color w:val="EE0000"/>
                <w:lang w:eastAsia="pt-BR"/>
              </w:rPr>
            </w:pPr>
            <w:r>
              <w:rPr>
                <w:rFonts w:eastAsia="Times New Roman" w:cstheme="minorHAnsi"/>
                <w:color w:val="EE0000"/>
                <w:lang w:eastAsia="pt-BR"/>
              </w:rPr>
              <w:t>447228</w:t>
            </w:r>
          </w:p>
        </w:tc>
        <w:tc>
          <w:tcPr>
            <w:tcW w:w="2835" w:type="dxa"/>
            <w:tcBorders>
              <w:top w:val="nil"/>
              <w:left w:val="nil"/>
              <w:bottom w:val="single" w:color="auto" w:sz="4" w:space="0"/>
              <w:right w:val="single" w:color="auto" w:sz="4" w:space="0"/>
            </w:tcBorders>
            <w:vAlign w:val="center"/>
          </w:tcPr>
          <w:p w14:paraId="30B3AD68">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COMPOSTO, ORIGEM: INORGÂNICO, MATÉRIA PRIMA: DACRON, POLIÉSTER, COMPOSIÇÃO: IMPREGNADO C, COLÁGENO BOVINO, MODELO: RETO, POROSIDADE: ALTA POROSIDADE, DIÂMETRO: DIÂMETRO 8 MM, COMPRIMENTO: 60 CM, TIPO USO: USO ÚNICO, ESTÉRIL CARACTERÍSTICAS ADICIONAIS: CONSIDERAR POROSIDADE PRÓXIMA A ZERO, TRANÇADO TIPO MALHA WOVEN, RESISTENTE A DILATAÇÃO, RECOBERTA COM COLÁGENO/GELATINA ABSORVÍVEL, DUPLO VELUDO</w:t>
            </w:r>
          </w:p>
        </w:tc>
        <w:tc>
          <w:tcPr>
            <w:tcW w:w="708" w:type="dxa"/>
            <w:tcBorders>
              <w:top w:val="nil"/>
              <w:left w:val="nil"/>
              <w:bottom w:val="single" w:color="auto" w:sz="4" w:space="0"/>
              <w:right w:val="single" w:color="auto" w:sz="4" w:space="0"/>
            </w:tcBorders>
            <w:vAlign w:val="center"/>
          </w:tcPr>
          <w:p w14:paraId="2E4F27B7">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797A6C5A">
            <w:pPr>
              <w:spacing w:after="0" w:line="240" w:lineRule="auto"/>
              <w:jc w:val="center"/>
              <w:rPr>
                <w:rFonts w:eastAsia="Times New Roman" w:cstheme="minorHAnsi"/>
                <w:color w:val="EE0000"/>
                <w:lang w:eastAsia="pt-BR"/>
              </w:rPr>
            </w:pPr>
            <w:r>
              <w:rPr>
                <w:rFonts w:eastAsia="Times New Roman" w:cstheme="minorHAnsi"/>
                <w:color w:val="EE0000"/>
                <w:lang w:eastAsia="pt-BR"/>
              </w:rPr>
              <w:t>120</w:t>
            </w:r>
          </w:p>
        </w:tc>
        <w:tc>
          <w:tcPr>
            <w:tcW w:w="1215" w:type="dxa"/>
            <w:tcBorders>
              <w:top w:val="nil"/>
              <w:left w:val="nil"/>
              <w:bottom w:val="single" w:color="auto" w:sz="4" w:space="0"/>
              <w:right w:val="single" w:color="auto" w:sz="4" w:space="0"/>
            </w:tcBorders>
            <w:shd w:val="clear" w:color="000000" w:fill="FFFFFF"/>
            <w:vAlign w:val="center"/>
          </w:tcPr>
          <w:p w14:paraId="175C19A8">
            <w:pPr>
              <w:spacing w:after="0" w:line="240" w:lineRule="auto"/>
              <w:jc w:val="center"/>
              <w:rPr>
                <w:rFonts w:eastAsia="Times New Roman" w:cstheme="minorHAnsi"/>
                <w:color w:val="EE0000"/>
                <w:lang w:eastAsia="pt-BR"/>
              </w:rPr>
            </w:pPr>
            <w:r>
              <w:rPr>
                <w:rFonts w:eastAsia="Times New Roman" w:cstheme="minorHAnsi"/>
                <w:color w:val="EE0000"/>
                <w:lang w:eastAsia="pt-BR"/>
              </w:rPr>
              <w:t>R$ 2.425,09</w:t>
            </w:r>
          </w:p>
        </w:tc>
        <w:tc>
          <w:tcPr>
            <w:tcW w:w="1560" w:type="dxa"/>
            <w:tcBorders>
              <w:top w:val="nil"/>
              <w:left w:val="nil"/>
              <w:bottom w:val="single" w:color="auto" w:sz="4" w:space="0"/>
              <w:right w:val="single" w:color="auto" w:sz="4" w:space="0"/>
            </w:tcBorders>
            <w:vAlign w:val="center"/>
          </w:tcPr>
          <w:p w14:paraId="02F5871E">
            <w:pPr>
              <w:spacing w:after="0" w:line="240" w:lineRule="auto"/>
              <w:jc w:val="right"/>
              <w:rPr>
                <w:rFonts w:eastAsia="Times New Roman" w:cstheme="minorHAnsi"/>
                <w:color w:val="EE0000"/>
                <w:lang w:eastAsia="pt-BR"/>
              </w:rPr>
            </w:pPr>
            <w:r>
              <w:rPr>
                <w:rFonts w:eastAsia="Times New Roman" w:cstheme="minorHAnsi"/>
                <w:color w:val="EE0000"/>
                <w:lang w:eastAsia="pt-BR"/>
              </w:rPr>
              <w:t>R$ 291.010,80</w:t>
            </w:r>
          </w:p>
        </w:tc>
      </w:tr>
      <w:tr w14:paraId="17064496">
        <w:tblPrEx>
          <w:tblCellMar>
            <w:top w:w="0" w:type="dxa"/>
            <w:left w:w="70" w:type="dxa"/>
            <w:bottom w:w="0" w:type="dxa"/>
            <w:right w:w="70" w:type="dxa"/>
          </w:tblCellMar>
        </w:tblPrEx>
        <w:trPr>
          <w:trHeight w:val="1680" w:hRule="atLeast"/>
        </w:trPr>
        <w:tc>
          <w:tcPr>
            <w:tcW w:w="562" w:type="dxa"/>
            <w:tcBorders>
              <w:top w:val="nil"/>
              <w:left w:val="single" w:color="auto" w:sz="4" w:space="0"/>
              <w:bottom w:val="single" w:color="auto" w:sz="4" w:space="0"/>
              <w:right w:val="single" w:color="auto" w:sz="4" w:space="0"/>
            </w:tcBorders>
            <w:vAlign w:val="center"/>
          </w:tcPr>
          <w:p w14:paraId="56725448">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18</w:t>
            </w:r>
          </w:p>
        </w:tc>
        <w:tc>
          <w:tcPr>
            <w:tcW w:w="851" w:type="dxa"/>
            <w:tcBorders>
              <w:top w:val="nil"/>
              <w:left w:val="nil"/>
              <w:bottom w:val="single" w:color="auto" w:sz="4" w:space="0"/>
              <w:right w:val="single" w:color="auto" w:sz="4" w:space="0"/>
            </w:tcBorders>
            <w:noWrap/>
            <w:vAlign w:val="center"/>
          </w:tcPr>
          <w:p w14:paraId="4B3AACDB">
            <w:pPr>
              <w:spacing w:after="0" w:line="240" w:lineRule="auto"/>
              <w:jc w:val="center"/>
              <w:rPr>
                <w:rFonts w:eastAsia="Times New Roman" w:cstheme="minorHAnsi"/>
                <w:color w:val="EE0000"/>
                <w:lang w:eastAsia="pt-BR"/>
              </w:rPr>
            </w:pPr>
            <w:r>
              <w:rPr>
                <w:rFonts w:eastAsia="Times New Roman" w:cstheme="minorHAnsi"/>
                <w:color w:val="EE0000"/>
                <w:lang w:eastAsia="pt-BR"/>
              </w:rPr>
              <w:t>447346</w:t>
            </w:r>
          </w:p>
        </w:tc>
        <w:tc>
          <w:tcPr>
            <w:tcW w:w="2835" w:type="dxa"/>
            <w:tcBorders>
              <w:top w:val="nil"/>
              <w:left w:val="nil"/>
              <w:bottom w:val="single" w:color="auto" w:sz="4" w:space="0"/>
              <w:right w:val="single" w:color="auto" w:sz="4" w:space="0"/>
            </w:tcBorders>
            <w:vAlign w:val="center"/>
          </w:tcPr>
          <w:p w14:paraId="33D0C9FD">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ORIGEM: INORGÂNICO, MATÉRIA PRIMA: PTFE MODELO: RETO, DIÂMETRO: DIÂMETRO 4 MM, TIPO USO: USO ÚNICO, ESTÉRIL. CARACTERÍSTICAS ADICIONAIS: CONSIDERAR MODELO TUBULAR IMPREGNADO COM HEPARINA, CERCA DE 3.0MM X 10CM; 3.5MM X 10CM; 4.0MM X 10CM.</w:t>
            </w:r>
          </w:p>
        </w:tc>
        <w:tc>
          <w:tcPr>
            <w:tcW w:w="708" w:type="dxa"/>
            <w:tcBorders>
              <w:top w:val="nil"/>
              <w:left w:val="nil"/>
              <w:bottom w:val="single" w:color="auto" w:sz="4" w:space="0"/>
              <w:right w:val="single" w:color="auto" w:sz="4" w:space="0"/>
            </w:tcBorders>
            <w:vAlign w:val="center"/>
          </w:tcPr>
          <w:p w14:paraId="1E2E77F7">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5C063F95">
            <w:pPr>
              <w:spacing w:after="0" w:line="240" w:lineRule="auto"/>
              <w:jc w:val="center"/>
              <w:rPr>
                <w:rFonts w:eastAsia="Times New Roman" w:cstheme="minorHAnsi"/>
                <w:color w:val="EE0000"/>
                <w:lang w:eastAsia="pt-BR"/>
              </w:rPr>
            </w:pPr>
            <w:r>
              <w:rPr>
                <w:rFonts w:eastAsia="Times New Roman" w:cstheme="minorHAnsi"/>
                <w:color w:val="EE0000"/>
                <w:lang w:eastAsia="pt-BR"/>
              </w:rPr>
              <w:t>140</w:t>
            </w:r>
          </w:p>
        </w:tc>
        <w:tc>
          <w:tcPr>
            <w:tcW w:w="1215" w:type="dxa"/>
            <w:tcBorders>
              <w:top w:val="nil"/>
              <w:left w:val="nil"/>
              <w:bottom w:val="single" w:color="auto" w:sz="4" w:space="0"/>
              <w:right w:val="single" w:color="auto" w:sz="4" w:space="0"/>
            </w:tcBorders>
            <w:shd w:val="clear" w:color="000000" w:fill="FFFFFF"/>
            <w:vAlign w:val="center"/>
          </w:tcPr>
          <w:p w14:paraId="122626E9">
            <w:pPr>
              <w:spacing w:after="0" w:line="240" w:lineRule="auto"/>
              <w:jc w:val="center"/>
              <w:rPr>
                <w:rFonts w:eastAsia="Times New Roman" w:cstheme="minorHAnsi"/>
                <w:color w:val="EE0000"/>
                <w:lang w:eastAsia="pt-BR"/>
              </w:rPr>
            </w:pPr>
            <w:r>
              <w:rPr>
                <w:rFonts w:eastAsia="Times New Roman" w:cstheme="minorHAnsi"/>
                <w:color w:val="EE0000"/>
                <w:lang w:eastAsia="pt-BR"/>
              </w:rPr>
              <w:t>R$ 6.884,50</w:t>
            </w:r>
          </w:p>
        </w:tc>
        <w:tc>
          <w:tcPr>
            <w:tcW w:w="1560" w:type="dxa"/>
            <w:tcBorders>
              <w:top w:val="nil"/>
              <w:left w:val="nil"/>
              <w:bottom w:val="single" w:color="auto" w:sz="4" w:space="0"/>
              <w:right w:val="single" w:color="auto" w:sz="4" w:space="0"/>
            </w:tcBorders>
            <w:vAlign w:val="center"/>
          </w:tcPr>
          <w:p w14:paraId="4D87633C">
            <w:pPr>
              <w:spacing w:after="0" w:line="240" w:lineRule="auto"/>
              <w:jc w:val="right"/>
              <w:rPr>
                <w:rFonts w:eastAsia="Times New Roman" w:cstheme="minorHAnsi"/>
                <w:color w:val="EE0000"/>
                <w:lang w:eastAsia="pt-BR"/>
              </w:rPr>
            </w:pPr>
            <w:r>
              <w:rPr>
                <w:rFonts w:eastAsia="Times New Roman" w:cstheme="minorHAnsi"/>
                <w:color w:val="EE0000"/>
                <w:lang w:eastAsia="pt-BR"/>
              </w:rPr>
              <w:t>R$ 963.830,00</w:t>
            </w:r>
          </w:p>
        </w:tc>
      </w:tr>
      <w:tr w14:paraId="7F5604E7">
        <w:tblPrEx>
          <w:tblCellMar>
            <w:top w:w="0" w:type="dxa"/>
            <w:left w:w="70" w:type="dxa"/>
            <w:bottom w:w="0" w:type="dxa"/>
            <w:right w:w="70" w:type="dxa"/>
          </w:tblCellMar>
        </w:tblPrEx>
        <w:trPr>
          <w:trHeight w:val="1440" w:hRule="atLeast"/>
        </w:trPr>
        <w:tc>
          <w:tcPr>
            <w:tcW w:w="562" w:type="dxa"/>
            <w:tcBorders>
              <w:top w:val="nil"/>
              <w:left w:val="single" w:color="auto" w:sz="4" w:space="0"/>
              <w:bottom w:val="single" w:color="auto" w:sz="4" w:space="0"/>
              <w:right w:val="single" w:color="auto" w:sz="4" w:space="0"/>
            </w:tcBorders>
            <w:vAlign w:val="center"/>
          </w:tcPr>
          <w:p w14:paraId="59B0500F">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19</w:t>
            </w:r>
          </w:p>
        </w:tc>
        <w:tc>
          <w:tcPr>
            <w:tcW w:w="851" w:type="dxa"/>
            <w:tcBorders>
              <w:top w:val="nil"/>
              <w:left w:val="nil"/>
              <w:bottom w:val="single" w:color="auto" w:sz="4" w:space="0"/>
              <w:right w:val="single" w:color="auto" w:sz="4" w:space="0"/>
            </w:tcBorders>
            <w:noWrap/>
            <w:vAlign w:val="center"/>
          </w:tcPr>
          <w:p w14:paraId="4DF00CD1">
            <w:pPr>
              <w:spacing w:after="0" w:line="240" w:lineRule="auto"/>
              <w:jc w:val="center"/>
              <w:rPr>
                <w:rFonts w:eastAsia="Times New Roman" w:cstheme="minorHAnsi"/>
                <w:color w:val="EE0000"/>
                <w:lang w:eastAsia="pt-BR"/>
              </w:rPr>
            </w:pPr>
            <w:r>
              <w:rPr>
                <w:rFonts w:eastAsia="Times New Roman" w:cstheme="minorHAnsi"/>
                <w:color w:val="EE0000"/>
                <w:lang w:eastAsia="pt-BR"/>
              </w:rPr>
              <w:t>447346</w:t>
            </w:r>
          </w:p>
        </w:tc>
        <w:tc>
          <w:tcPr>
            <w:tcW w:w="2835" w:type="dxa"/>
            <w:tcBorders>
              <w:top w:val="nil"/>
              <w:left w:val="nil"/>
              <w:bottom w:val="single" w:color="auto" w:sz="4" w:space="0"/>
              <w:right w:val="single" w:color="auto" w:sz="4" w:space="0"/>
            </w:tcBorders>
            <w:vAlign w:val="center"/>
          </w:tcPr>
          <w:p w14:paraId="5EF346B3">
            <w:pPr>
              <w:spacing w:after="0" w:line="240" w:lineRule="auto"/>
              <w:jc w:val="both"/>
              <w:rPr>
                <w:rFonts w:eastAsia="Times New Roman" w:cstheme="minorHAnsi"/>
                <w:color w:val="EE0000"/>
                <w:lang w:eastAsia="pt-BR"/>
              </w:rPr>
            </w:pPr>
            <w:r>
              <w:rPr>
                <w:rFonts w:eastAsia="Times New Roman" w:cstheme="minorHAnsi"/>
                <w:color w:val="EE0000"/>
                <w:lang w:eastAsia="pt-BR"/>
              </w:rPr>
              <w:t>PRÓTESE VASCULAR, TIPO: ENXERTO, ORIGEM: INORGÂNICO, MATÉRIA PRIMA: PTFE, MODELO: RETO, DIÂMETRO: DIÂMETRO 4 MM, TIPO USO: USO ÚNICO, ESTÉRIL CARACTERISTICAS ADICIONAIS: CONSIDERAR OS TAMNHOS 3,5MM, 4,0MM E 5,0MM.</w:t>
            </w:r>
          </w:p>
        </w:tc>
        <w:tc>
          <w:tcPr>
            <w:tcW w:w="708" w:type="dxa"/>
            <w:tcBorders>
              <w:top w:val="nil"/>
              <w:left w:val="nil"/>
              <w:bottom w:val="single" w:color="auto" w:sz="4" w:space="0"/>
              <w:right w:val="single" w:color="auto" w:sz="4" w:space="0"/>
            </w:tcBorders>
            <w:vAlign w:val="center"/>
          </w:tcPr>
          <w:p w14:paraId="5ADED441">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370E1681">
            <w:pPr>
              <w:spacing w:after="0" w:line="240" w:lineRule="auto"/>
              <w:jc w:val="center"/>
              <w:rPr>
                <w:rFonts w:eastAsia="Times New Roman" w:cstheme="minorHAnsi"/>
                <w:color w:val="EE0000"/>
                <w:lang w:eastAsia="pt-BR"/>
              </w:rPr>
            </w:pPr>
            <w:r>
              <w:rPr>
                <w:rFonts w:eastAsia="Times New Roman" w:cstheme="minorHAnsi"/>
                <w:color w:val="EE0000"/>
                <w:lang w:eastAsia="pt-BR"/>
              </w:rPr>
              <w:t>100</w:t>
            </w:r>
          </w:p>
        </w:tc>
        <w:tc>
          <w:tcPr>
            <w:tcW w:w="1215" w:type="dxa"/>
            <w:tcBorders>
              <w:top w:val="nil"/>
              <w:left w:val="nil"/>
              <w:bottom w:val="single" w:color="auto" w:sz="4" w:space="0"/>
              <w:right w:val="single" w:color="auto" w:sz="4" w:space="0"/>
            </w:tcBorders>
            <w:shd w:val="clear" w:color="000000" w:fill="FFFFFF"/>
            <w:vAlign w:val="center"/>
          </w:tcPr>
          <w:p w14:paraId="5712F623">
            <w:pPr>
              <w:spacing w:after="0" w:line="240" w:lineRule="auto"/>
              <w:jc w:val="center"/>
              <w:rPr>
                <w:rFonts w:eastAsia="Times New Roman" w:cstheme="minorHAnsi"/>
                <w:color w:val="EE0000"/>
                <w:lang w:eastAsia="pt-BR"/>
              </w:rPr>
            </w:pPr>
            <w:r>
              <w:rPr>
                <w:rFonts w:eastAsia="Times New Roman" w:cstheme="minorHAnsi"/>
                <w:color w:val="EE0000"/>
                <w:lang w:eastAsia="pt-BR"/>
              </w:rPr>
              <w:t>R$ 856,40</w:t>
            </w:r>
          </w:p>
        </w:tc>
        <w:tc>
          <w:tcPr>
            <w:tcW w:w="1560" w:type="dxa"/>
            <w:tcBorders>
              <w:top w:val="nil"/>
              <w:left w:val="nil"/>
              <w:bottom w:val="single" w:color="auto" w:sz="4" w:space="0"/>
              <w:right w:val="single" w:color="auto" w:sz="4" w:space="0"/>
            </w:tcBorders>
            <w:vAlign w:val="center"/>
          </w:tcPr>
          <w:p w14:paraId="325B7F9C">
            <w:pPr>
              <w:spacing w:after="0" w:line="240" w:lineRule="auto"/>
              <w:jc w:val="right"/>
              <w:rPr>
                <w:rFonts w:eastAsia="Times New Roman" w:cstheme="minorHAnsi"/>
                <w:color w:val="EE0000"/>
                <w:lang w:eastAsia="pt-BR"/>
              </w:rPr>
            </w:pPr>
            <w:r>
              <w:rPr>
                <w:rFonts w:eastAsia="Times New Roman" w:cstheme="minorHAnsi"/>
                <w:color w:val="EE0000"/>
                <w:lang w:eastAsia="pt-BR"/>
              </w:rPr>
              <w:t>R$ 85.640,00</w:t>
            </w:r>
          </w:p>
        </w:tc>
      </w:tr>
      <w:tr w14:paraId="0C16AFE6">
        <w:tblPrEx>
          <w:tblCellMar>
            <w:top w:w="0" w:type="dxa"/>
            <w:left w:w="70" w:type="dxa"/>
            <w:bottom w:w="0" w:type="dxa"/>
            <w:right w:w="70" w:type="dxa"/>
          </w:tblCellMar>
        </w:tblPrEx>
        <w:trPr>
          <w:trHeight w:val="2400" w:hRule="atLeast"/>
        </w:trPr>
        <w:tc>
          <w:tcPr>
            <w:tcW w:w="562" w:type="dxa"/>
            <w:tcBorders>
              <w:top w:val="nil"/>
              <w:left w:val="single" w:color="auto" w:sz="4" w:space="0"/>
              <w:bottom w:val="single" w:color="auto" w:sz="4" w:space="0"/>
              <w:right w:val="single" w:color="auto" w:sz="4" w:space="0"/>
            </w:tcBorders>
            <w:vAlign w:val="center"/>
          </w:tcPr>
          <w:p w14:paraId="51ABD940">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20</w:t>
            </w:r>
          </w:p>
        </w:tc>
        <w:tc>
          <w:tcPr>
            <w:tcW w:w="851" w:type="dxa"/>
            <w:tcBorders>
              <w:top w:val="nil"/>
              <w:left w:val="nil"/>
              <w:bottom w:val="single" w:color="auto" w:sz="4" w:space="0"/>
              <w:right w:val="single" w:color="auto" w:sz="4" w:space="0"/>
            </w:tcBorders>
            <w:noWrap/>
            <w:vAlign w:val="center"/>
          </w:tcPr>
          <w:p w14:paraId="7718D06D">
            <w:pPr>
              <w:spacing w:after="0" w:line="240" w:lineRule="auto"/>
              <w:jc w:val="center"/>
              <w:rPr>
                <w:rFonts w:eastAsia="Times New Roman" w:cstheme="minorHAnsi"/>
                <w:color w:val="EE0000"/>
                <w:lang w:eastAsia="pt-BR"/>
              </w:rPr>
            </w:pPr>
            <w:r>
              <w:rPr>
                <w:rFonts w:eastAsia="Times New Roman" w:cstheme="minorHAnsi"/>
                <w:color w:val="EE0000"/>
                <w:lang w:eastAsia="pt-BR"/>
              </w:rPr>
              <w:t>459455</w:t>
            </w:r>
          </w:p>
        </w:tc>
        <w:tc>
          <w:tcPr>
            <w:tcW w:w="2835" w:type="dxa"/>
            <w:tcBorders>
              <w:top w:val="nil"/>
              <w:left w:val="nil"/>
              <w:bottom w:val="single" w:color="auto" w:sz="4" w:space="0"/>
              <w:right w:val="single" w:color="auto" w:sz="4" w:space="0"/>
            </w:tcBorders>
            <w:vAlign w:val="center"/>
          </w:tcPr>
          <w:p w14:paraId="154CE060">
            <w:pPr>
              <w:spacing w:after="0" w:line="240" w:lineRule="auto"/>
              <w:jc w:val="both"/>
              <w:rPr>
                <w:rFonts w:eastAsia="Times New Roman" w:cstheme="minorHAnsi"/>
                <w:color w:val="EE0000"/>
                <w:lang w:eastAsia="pt-BR"/>
              </w:rPr>
            </w:pPr>
            <w:r>
              <w:rPr>
                <w:rFonts w:eastAsia="Times New Roman" w:cstheme="minorHAnsi"/>
                <w:color w:val="EE0000"/>
                <w:lang w:eastAsia="pt-BR"/>
              </w:rPr>
              <w:t>FIO GUIA, APLICAÇÃO: VASCULAR, MATERIAL: AÇO INOXIDÁVEL, REVESTIMENTO: POLITETRAFLUORETILENO - PTFE, DIÂMETRO: 0,035",  COMPRIMENTO:  CERCA DE</w:t>
            </w:r>
            <w:r>
              <w:rPr>
                <w:rFonts w:eastAsia="Times New Roman" w:cstheme="minorHAnsi"/>
                <w:color w:val="EE0000"/>
                <w:lang w:eastAsia="pt-BR"/>
              </w:rPr>
              <w:br w:type="textWrapping"/>
            </w:r>
            <w:r>
              <w:rPr>
                <w:rFonts w:eastAsia="Times New Roman" w:cstheme="minorHAnsi"/>
                <w:color w:val="EE0000"/>
                <w:lang w:eastAsia="pt-BR"/>
              </w:rPr>
              <w:t>260 CM, TIPO PONTA: PONTA ESPIRAL RETA FLEXÍVEL. CARACTERÍSTICAS ADICIONAIS: RADIOPACO, ESTERILIDADE: ESTÉRIL. CARACTERÍSTICAS ADICIONAIS: AMPLATZ EXTRA-STIFF PONTA RETA E/OU J.</w:t>
            </w:r>
          </w:p>
        </w:tc>
        <w:tc>
          <w:tcPr>
            <w:tcW w:w="708" w:type="dxa"/>
            <w:tcBorders>
              <w:top w:val="nil"/>
              <w:left w:val="nil"/>
              <w:bottom w:val="single" w:color="auto" w:sz="4" w:space="0"/>
              <w:right w:val="single" w:color="auto" w:sz="4" w:space="0"/>
            </w:tcBorders>
            <w:vAlign w:val="center"/>
          </w:tcPr>
          <w:p w14:paraId="050DA6D8">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5E92731D">
            <w:pPr>
              <w:spacing w:after="0" w:line="240" w:lineRule="auto"/>
              <w:jc w:val="center"/>
              <w:rPr>
                <w:rFonts w:eastAsia="Times New Roman" w:cstheme="minorHAnsi"/>
                <w:color w:val="EE0000"/>
                <w:lang w:eastAsia="pt-BR"/>
              </w:rPr>
            </w:pPr>
            <w:r>
              <w:rPr>
                <w:rFonts w:eastAsia="Times New Roman" w:cstheme="minorHAnsi"/>
                <w:color w:val="EE0000"/>
                <w:lang w:eastAsia="pt-BR"/>
              </w:rPr>
              <w:t>250</w:t>
            </w:r>
          </w:p>
        </w:tc>
        <w:tc>
          <w:tcPr>
            <w:tcW w:w="1215" w:type="dxa"/>
            <w:tcBorders>
              <w:top w:val="nil"/>
              <w:left w:val="nil"/>
              <w:bottom w:val="single" w:color="auto" w:sz="4" w:space="0"/>
              <w:right w:val="single" w:color="auto" w:sz="4" w:space="0"/>
            </w:tcBorders>
            <w:shd w:val="clear" w:color="000000" w:fill="FFFFFF"/>
            <w:vAlign w:val="center"/>
          </w:tcPr>
          <w:p w14:paraId="695E71C7">
            <w:pPr>
              <w:spacing w:after="0" w:line="240" w:lineRule="auto"/>
              <w:jc w:val="center"/>
              <w:rPr>
                <w:rFonts w:eastAsia="Times New Roman" w:cstheme="minorHAnsi"/>
                <w:color w:val="EE0000"/>
                <w:lang w:eastAsia="pt-BR"/>
              </w:rPr>
            </w:pPr>
            <w:r>
              <w:rPr>
                <w:rFonts w:eastAsia="Times New Roman" w:cstheme="minorHAnsi"/>
                <w:color w:val="EE0000"/>
                <w:lang w:eastAsia="pt-BR"/>
              </w:rPr>
              <w:t>R$ 365,52</w:t>
            </w:r>
          </w:p>
        </w:tc>
        <w:tc>
          <w:tcPr>
            <w:tcW w:w="1560" w:type="dxa"/>
            <w:tcBorders>
              <w:top w:val="nil"/>
              <w:left w:val="nil"/>
              <w:bottom w:val="single" w:color="auto" w:sz="4" w:space="0"/>
              <w:right w:val="single" w:color="auto" w:sz="4" w:space="0"/>
            </w:tcBorders>
            <w:vAlign w:val="center"/>
          </w:tcPr>
          <w:p w14:paraId="4FD5AE4C">
            <w:pPr>
              <w:spacing w:after="0" w:line="240" w:lineRule="auto"/>
              <w:jc w:val="right"/>
              <w:rPr>
                <w:rFonts w:eastAsia="Times New Roman" w:cstheme="minorHAnsi"/>
                <w:color w:val="EE0000"/>
                <w:lang w:eastAsia="pt-BR"/>
              </w:rPr>
            </w:pPr>
            <w:r>
              <w:rPr>
                <w:rFonts w:eastAsia="Times New Roman" w:cstheme="minorHAnsi"/>
                <w:color w:val="EE0000"/>
                <w:lang w:eastAsia="pt-BR"/>
              </w:rPr>
              <w:t>R$ 91.380,00</w:t>
            </w:r>
          </w:p>
        </w:tc>
      </w:tr>
      <w:tr w14:paraId="2B882A09">
        <w:tblPrEx>
          <w:tblCellMar>
            <w:top w:w="0" w:type="dxa"/>
            <w:left w:w="70" w:type="dxa"/>
            <w:bottom w:w="0" w:type="dxa"/>
            <w:right w:w="70" w:type="dxa"/>
          </w:tblCellMar>
        </w:tblPrEx>
        <w:trPr>
          <w:trHeight w:val="1830" w:hRule="atLeast"/>
        </w:trPr>
        <w:tc>
          <w:tcPr>
            <w:tcW w:w="562" w:type="dxa"/>
            <w:tcBorders>
              <w:top w:val="nil"/>
              <w:left w:val="single" w:color="auto" w:sz="4" w:space="0"/>
              <w:bottom w:val="single" w:color="auto" w:sz="4" w:space="0"/>
              <w:right w:val="single" w:color="auto" w:sz="4" w:space="0"/>
            </w:tcBorders>
            <w:vAlign w:val="center"/>
          </w:tcPr>
          <w:p w14:paraId="4370742C">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21</w:t>
            </w:r>
          </w:p>
        </w:tc>
        <w:tc>
          <w:tcPr>
            <w:tcW w:w="851" w:type="dxa"/>
            <w:tcBorders>
              <w:top w:val="nil"/>
              <w:left w:val="nil"/>
              <w:bottom w:val="single" w:color="auto" w:sz="4" w:space="0"/>
              <w:right w:val="single" w:color="auto" w:sz="4" w:space="0"/>
            </w:tcBorders>
            <w:noWrap/>
            <w:vAlign w:val="center"/>
          </w:tcPr>
          <w:p w14:paraId="7071A89B">
            <w:pPr>
              <w:spacing w:after="0" w:line="240" w:lineRule="auto"/>
              <w:jc w:val="center"/>
              <w:rPr>
                <w:rFonts w:eastAsia="Times New Roman" w:cstheme="minorHAnsi"/>
                <w:color w:val="EE0000"/>
                <w:lang w:eastAsia="pt-BR"/>
              </w:rPr>
            </w:pPr>
            <w:r>
              <w:rPr>
                <w:rFonts w:eastAsia="Times New Roman" w:cstheme="minorHAnsi"/>
                <w:color w:val="EE0000"/>
                <w:lang w:eastAsia="pt-BR"/>
              </w:rPr>
              <w:t>452068</w:t>
            </w:r>
          </w:p>
        </w:tc>
        <w:tc>
          <w:tcPr>
            <w:tcW w:w="2835" w:type="dxa"/>
            <w:tcBorders>
              <w:top w:val="nil"/>
              <w:left w:val="nil"/>
              <w:bottom w:val="single" w:color="auto" w:sz="4" w:space="0"/>
              <w:right w:val="single" w:color="auto" w:sz="4" w:space="0"/>
            </w:tcBorders>
            <w:vAlign w:val="center"/>
          </w:tcPr>
          <w:p w14:paraId="382CCAA5">
            <w:pPr>
              <w:spacing w:after="0" w:line="240" w:lineRule="auto"/>
              <w:jc w:val="both"/>
              <w:rPr>
                <w:rFonts w:eastAsia="Times New Roman" w:cstheme="minorHAnsi"/>
                <w:color w:val="EE0000"/>
                <w:lang w:eastAsia="pt-BR"/>
              </w:rPr>
            </w:pPr>
            <w:r>
              <w:rPr>
                <w:rFonts w:eastAsia="Times New Roman" w:cstheme="minorHAnsi"/>
                <w:color w:val="EE0000"/>
                <w:lang w:eastAsia="pt-BR"/>
              </w:rPr>
              <w:t>FIO GUIA, APLICAÇÃO VASCULAR, MATERIAL AÇO INOXIDÁVEL, REVESTIMENTO HIDROFÍLICO, DIÂMETRO 0,035´, COMPRIMENTO CERCA DE 260, TIPO PONTA RETA. CARACTERÍSTICAS ADICIONAIS RADIOPACO, ESTERILIDADE ESTÉRIL. PARA PROCEDIMENTOS VASCULARES PONTA RETA E/OU J.</w:t>
            </w:r>
          </w:p>
        </w:tc>
        <w:tc>
          <w:tcPr>
            <w:tcW w:w="708" w:type="dxa"/>
            <w:tcBorders>
              <w:top w:val="nil"/>
              <w:left w:val="nil"/>
              <w:bottom w:val="single" w:color="auto" w:sz="4" w:space="0"/>
              <w:right w:val="single" w:color="auto" w:sz="4" w:space="0"/>
            </w:tcBorders>
            <w:vAlign w:val="center"/>
          </w:tcPr>
          <w:p w14:paraId="4D8D9C82">
            <w:pPr>
              <w:spacing w:after="0" w:line="240" w:lineRule="auto"/>
              <w:jc w:val="center"/>
              <w:rPr>
                <w:rFonts w:eastAsia="Times New Roman" w:cstheme="minorHAnsi"/>
                <w:color w:val="EE0000"/>
                <w:lang w:eastAsia="pt-BR"/>
              </w:rPr>
            </w:pPr>
            <w:r>
              <w:rPr>
                <w:rFonts w:eastAsia="Times New Roman" w:cstheme="minorHAnsi"/>
                <w:color w:val="EE0000"/>
                <w:lang w:eastAsia="pt-BR"/>
              </w:rPr>
              <w:t>Und</w:t>
            </w:r>
          </w:p>
        </w:tc>
        <w:tc>
          <w:tcPr>
            <w:tcW w:w="1053" w:type="dxa"/>
            <w:tcBorders>
              <w:top w:val="nil"/>
              <w:left w:val="nil"/>
              <w:bottom w:val="single" w:color="auto" w:sz="4" w:space="0"/>
              <w:right w:val="single" w:color="auto" w:sz="4" w:space="0"/>
            </w:tcBorders>
            <w:shd w:val="clear" w:color="000000" w:fill="FFFFFF"/>
            <w:noWrap/>
            <w:vAlign w:val="center"/>
          </w:tcPr>
          <w:p w14:paraId="05CA4810">
            <w:pPr>
              <w:spacing w:after="0" w:line="240" w:lineRule="auto"/>
              <w:jc w:val="center"/>
              <w:rPr>
                <w:rFonts w:eastAsia="Times New Roman" w:cstheme="minorHAnsi"/>
                <w:color w:val="EE0000"/>
                <w:lang w:eastAsia="pt-BR"/>
              </w:rPr>
            </w:pPr>
            <w:r>
              <w:rPr>
                <w:rFonts w:eastAsia="Times New Roman" w:cstheme="minorHAnsi"/>
                <w:color w:val="EE0000"/>
                <w:lang w:eastAsia="pt-BR"/>
              </w:rPr>
              <w:t>600</w:t>
            </w:r>
          </w:p>
        </w:tc>
        <w:tc>
          <w:tcPr>
            <w:tcW w:w="1215" w:type="dxa"/>
            <w:tcBorders>
              <w:top w:val="nil"/>
              <w:left w:val="nil"/>
              <w:bottom w:val="single" w:color="auto" w:sz="4" w:space="0"/>
              <w:right w:val="single" w:color="auto" w:sz="4" w:space="0"/>
            </w:tcBorders>
            <w:shd w:val="clear" w:color="000000" w:fill="FFFFFF"/>
            <w:vAlign w:val="center"/>
          </w:tcPr>
          <w:p w14:paraId="59422685">
            <w:pPr>
              <w:spacing w:after="0" w:line="240" w:lineRule="auto"/>
              <w:jc w:val="center"/>
              <w:rPr>
                <w:rFonts w:eastAsia="Times New Roman" w:cstheme="minorHAnsi"/>
                <w:color w:val="EE0000"/>
                <w:lang w:eastAsia="pt-BR"/>
              </w:rPr>
            </w:pPr>
            <w:r>
              <w:rPr>
                <w:rFonts w:eastAsia="Times New Roman" w:cstheme="minorHAnsi"/>
                <w:color w:val="EE0000"/>
                <w:lang w:eastAsia="pt-BR"/>
              </w:rPr>
              <w:t>R$ 201,56</w:t>
            </w:r>
          </w:p>
        </w:tc>
        <w:tc>
          <w:tcPr>
            <w:tcW w:w="1560" w:type="dxa"/>
            <w:tcBorders>
              <w:top w:val="nil"/>
              <w:left w:val="nil"/>
              <w:bottom w:val="single" w:color="auto" w:sz="4" w:space="0"/>
              <w:right w:val="single" w:color="auto" w:sz="4" w:space="0"/>
            </w:tcBorders>
            <w:vAlign w:val="center"/>
          </w:tcPr>
          <w:p w14:paraId="1CC503C1">
            <w:pPr>
              <w:spacing w:after="0" w:line="240" w:lineRule="auto"/>
              <w:jc w:val="right"/>
              <w:rPr>
                <w:rFonts w:eastAsia="Times New Roman" w:cstheme="minorHAnsi"/>
                <w:color w:val="EE0000"/>
                <w:lang w:eastAsia="pt-BR"/>
              </w:rPr>
            </w:pPr>
            <w:r>
              <w:rPr>
                <w:rFonts w:eastAsia="Times New Roman" w:cstheme="minorHAnsi"/>
                <w:color w:val="EE0000"/>
                <w:lang w:eastAsia="pt-BR"/>
              </w:rPr>
              <w:t>R$ 120.936,00</w:t>
            </w:r>
          </w:p>
        </w:tc>
      </w:tr>
      <w:tr w14:paraId="297DEF98">
        <w:tblPrEx>
          <w:tblCellMar>
            <w:top w:w="0" w:type="dxa"/>
            <w:left w:w="70" w:type="dxa"/>
            <w:bottom w:w="0" w:type="dxa"/>
            <w:right w:w="70" w:type="dxa"/>
          </w:tblCellMar>
        </w:tblPrEx>
        <w:trPr>
          <w:trHeight w:val="341" w:hRule="atLeast"/>
        </w:trPr>
        <w:tc>
          <w:tcPr>
            <w:tcW w:w="7225" w:type="dxa"/>
            <w:gridSpan w:val="6"/>
            <w:tcBorders>
              <w:top w:val="nil"/>
              <w:left w:val="single" w:color="auto" w:sz="4" w:space="0"/>
              <w:bottom w:val="single" w:color="auto" w:sz="4" w:space="0"/>
              <w:right w:val="single" w:color="auto" w:sz="4" w:space="0"/>
            </w:tcBorders>
            <w:shd w:val="clear" w:color="000000" w:fill="F2F2F2"/>
            <w:noWrap/>
            <w:vAlign w:val="center"/>
          </w:tcPr>
          <w:p w14:paraId="0044D07D">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TOTAL GERAL ESTIMADO</w:t>
            </w:r>
          </w:p>
        </w:tc>
        <w:tc>
          <w:tcPr>
            <w:tcW w:w="1560" w:type="dxa"/>
            <w:tcBorders>
              <w:top w:val="nil"/>
              <w:left w:val="nil"/>
              <w:bottom w:val="single" w:color="auto" w:sz="4" w:space="0"/>
              <w:right w:val="single" w:color="auto" w:sz="4" w:space="0"/>
            </w:tcBorders>
            <w:shd w:val="clear" w:color="000000" w:fill="F2F2F2"/>
            <w:noWrap/>
            <w:vAlign w:val="center"/>
          </w:tcPr>
          <w:p w14:paraId="6F4E639B">
            <w:pPr>
              <w:spacing w:after="0" w:line="240" w:lineRule="auto"/>
              <w:rPr>
                <w:rFonts w:eastAsia="Times New Roman" w:cstheme="minorHAnsi"/>
                <w:b/>
                <w:bCs/>
                <w:color w:val="EE0000"/>
                <w:lang w:eastAsia="pt-BR"/>
              </w:rPr>
            </w:pPr>
            <w:r>
              <w:rPr>
                <w:rFonts w:eastAsia="Times New Roman" w:cstheme="minorHAnsi"/>
                <w:b/>
                <w:bCs/>
                <w:color w:val="EE0000"/>
                <w:lang w:eastAsia="pt-BR"/>
              </w:rPr>
              <w:t xml:space="preserve">R$  7.383.662,74 </w:t>
            </w:r>
          </w:p>
        </w:tc>
      </w:tr>
    </w:tbl>
    <w:p w14:paraId="0D508F12">
      <w:pPr>
        <w:pStyle w:val="63"/>
        <w:widowControl w:val="0"/>
        <w:numPr>
          <w:ilvl w:val="1"/>
          <w:numId w:val="10"/>
        </w:numPr>
        <w:tabs>
          <w:tab w:val="left" w:pos="574"/>
        </w:tabs>
        <w:autoSpaceDE w:val="0"/>
        <w:autoSpaceDN w:val="0"/>
        <w:spacing w:before="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INFORMAÇÃO COMPLEMENTAR DOS ITENS</w:t>
      </w:r>
    </w:p>
    <w:p w14:paraId="2D6F4F7A">
      <w:pPr>
        <w:pStyle w:val="63"/>
        <w:widowControl w:val="0"/>
        <w:numPr>
          <w:ilvl w:val="1"/>
          <w:numId w:val="10"/>
        </w:numPr>
        <w:tabs>
          <w:tab w:val="left" w:pos="574"/>
        </w:tabs>
        <w:autoSpaceDE w:val="0"/>
        <w:autoSpaceDN w:val="0"/>
        <w:spacing w:before="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empresa vencedora do certame fornecerá o material do </w:t>
      </w:r>
      <w:r>
        <w:rPr>
          <w:rFonts w:asciiTheme="minorHAnsi" w:hAnsiTheme="minorHAnsi" w:cstheme="minorHAnsi"/>
          <w:b/>
          <w:bCs/>
          <w:sz w:val="22"/>
          <w:szCs w:val="22"/>
          <w:u w:val="single"/>
        </w:rPr>
        <w:t>item 01</w:t>
      </w:r>
      <w:r>
        <w:rPr>
          <w:rFonts w:asciiTheme="minorHAnsi" w:hAnsiTheme="minorHAnsi" w:cstheme="minorHAnsi"/>
          <w:b/>
          <w:bCs/>
          <w:sz w:val="22"/>
          <w:szCs w:val="22"/>
        </w:rPr>
        <w:t xml:space="preserve"> em regime de consignação</w:t>
      </w:r>
      <w:r>
        <w:rPr>
          <w:rFonts w:asciiTheme="minorHAnsi" w:hAnsiTheme="minorHAnsi" w:cstheme="minorHAnsi"/>
          <w:sz w:val="22"/>
          <w:szCs w:val="22"/>
        </w:rPr>
        <w:t xml:space="preserve"> acompanhados de Nota Fiscal de Simples Remessa com “check list”, discriminando a quantidade, especificação do material, marca, série e número do lote, conforme planilha abaixo;</w:t>
      </w:r>
    </w:p>
    <w:p w14:paraId="0C4F6DBE">
      <w:pPr>
        <w:pStyle w:val="63"/>
        <w:widowControl w:val="0"/>
        <w:numPr>
          <w:ilvl w:val="1"/>
          <w:numId w:val="10"/>
        </w:numPr>
        <w:tabs>
          <w:tab w:val="left" w:pos="574"/>
        </w:tabs>
        <w:autoSpaceDE w:val="0"/>
        <w:autoSpaceDN w:val="0"/>
        <w:spacing w:before="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primeira remessa dos itens consignados </w:t>
      </w:r>
      <w:r>
        <w:rPr>
          <w:rFonts w:asciiTheme="minorHAnsi" w:hAnsiTheme="minorHAnsi" w:cstheme="minorHAnsi"/>
          <w:b/>
          <w:bCs/>
          <w:sz w:val="22"/>
          <w:szCs w:val="22"/>
        </w:rPr>
        <w:t>(item 1</w:t>
      </w:r>
      <w:r>
        <w:rPr>
          <w:rFonts w:asciiTheme="minorHAnsi" w:hAnsiTheme="minorHAnsi" w:cstheme="minorHAnsi"/>
          <w:sz w:val="22"/>
          <w:szCs w:val="22"/>
        </w:rPr>
        <w:t>) será entregue em até 7(sete) dias após solicitação via e-mail enviada à empresa, obedecendo às quantidades abaixo relacionadas;</w:t>
      </w:r>
    </w:p>
    <w:tbl>
      <w:tblPr>
        <w:tblStyle w:val="151"/>
        <w:tblW w:w="0" w:type="auto"/>
        <w:tblInd w:w="16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1F1F1" w:themeFill="background1" w:themeFillShade="F2"/>
        <w:tblLayout w:type="fixed"/>
        <w:tblCellMar>
          <w:top w:w="0" w:type="dxa"/>
          <w:left w:w="0" w:type="dxa"/>
          <w:bottom w:w="0" w:type="dxa"/>
          <w:right w:w="0" w:type="dxa"/>
        </w:tblCellMar>
      </w:tblPr>
      <w:tblGrid>
        <w:gridCol w:w="1287"/>
        <w:gridCol w:w="3430"/>
        <w:gridCol w:w="1419"/>
      </w:tblGrid>
      <w:tr w14:paraId="26965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1F1F1" w:themeFill="background1" w:themeFillShade="F2"/>
          <w:tblCellMar>
            <w:top w:w="0" w:type="dxa"/>
            <w:left w:w="0" w:type="dxa"/>
            <w:bottom w:w="0" w:type="dxa"/>
            <w:right w:w="0" w:type="dxa"/>
          </w:tblCellMar>
        </w:tblPrEx>
        <w:trPr>
          <w:trHeight w:val="494" w:hRule="atLeast"/>
        </w:trPr>
        <w:tc>
          <w:tcPr>
            <w:tcW w:w="1287" w:type="dxa"/>
            <w:shd w:val="clear" w:color="auto" w:fill="F1F1F1" w:themeFill="background1" w:themeFillShade="F2"/>
          </w:tcPr>
          <w:p w14:paraId="433B8D35">
            <w:pPr>
              <w:pStyle w:val="152"/>
              <w:spacing w:before="116"/>
              <w:ind w:left="38" w:right="195"/>
              <w:jc w:val="center"/>
              <w:rPr>
                <w:rFonts w:asciiTheme="minorHAnsi" w:hAnsiTheme="minorHAnsi" w:cstheme="minorHAnsi"/>
                <w:b/>
                <w:bCs/>
              </w:rPr>
            </w:pPr>
            <w:r>
              <w:rPr>
                <w:rFonts w:asciiTheme="minorHAnsi" w:hAnsiTheme="minorHAnsi" w:cstheme="minorHAnsi"/>
                <w:b/>
                <w:bCs/>
                <w:spacing w:val="-4"/>
              </w:rPr>
              <w:t>ITEM</w:t>
            </w:r>
          </w:p>
        </w:tc>
        <w:tc>
          <w:tcPr>
            <w:tcW w:w="3430" w:type="dxa"/>
            <w:shd w:val="clear" w:color="auto" w:fill="F1F1F1" w:themeFill="background1" w:themeFillShade="F2"/>
          </w:tcPr>
          <w:p w14:paraId="46654F6A">
            <w:pPr>
              <w:pStyle w:val="152"/>
              <w:spacing w:before="116"/>
              <w:ind w:left="427"/>
              <w:rPr>
                <w:rFonts w:asciiTheme="minorHAnsi" w:hAnsiTheme="minorHAnsi" w:cstheme="minorHAnsi"/>
                <w:b/>
                <w:bCs/>
              </w:rPr>
            </w:pPr>
            <w:r>
              <w:rPr>
                <w:rFonts w:asciiTheme="minorHAnsi" w:hAnsiTheme="minorHAnsi" w:cstheme="minorHAnsi"/>
                <w:b/>
                <w:bCs/>
                <w:spacing w:val="-2"/>
              </w:rPr>
              <w:t>ENTREGA/QUANTIDADE</w:t>
            </w:r>
          </w:p>
        </w:tc>
        <w:tc>
          <w:tcPr>
            <w:tcW w:w="1419" w:type="dxa"/>
            <w:shd w:val="clear" w:color="auto" w:fill="F1F1F1" w:themeFill="background1" w:themeFillShade="F2"/>
          </w:tcPr>
          <w:p w14:paraId="65F05162">
            <w:pPr>
              <w:pStyle w:val="152"/>
              <w:spacing w:before="116"/>
              <w:ind w:left="235"/>
              <w:rPr>
                <w:rFonts w:asciiTheme="minorHAnsi" w:hAnsiTheme="minorHAnsi" w:cstheme="minorHAnsi"/>
                <w:b/>
                <w:bCs/>
              </w:rPr>
            </w:pPr>
            <w:r>
              <w:rPr>
                <w:rFonts w:asciiTheme="minorHAnsi" w:hAnsiTheme="minorHAnsi" w:cstheme="minorHAnsi"/>
                <w:b/>
                <w:bCs/>
                <w:spacing w:val="-2"/>
              </w:rPr>
              <w:t>UNIDADE</w:t>
            </w:r>
          </w:p>
        </w:tc>
      </w:tr>
      <w:tr w14:paraId="5A6FA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1F1F1" w:themeFill="background1" w:themeFillShade="F2"/>
          <w:tblCellMar>
            <w:top w:w="0" w:type="dxa"/>
            <w:left w:w="0" w:type="dxa"/>
            <w:bottom w:w="0" w:type="dxa"/>
            <w:right w:w="0" w:type="dxa"/>
          </w:tblCellMar>
        </w:tblPrEx>
        <w:trPr>
          <w:trHeight w:val="494" w:hRule="atLeast"/>
        </w:trPr>
        <w:tc>
          <w:tcPr>
            <w:tcW w:w="1287" w:type="dxa"/>
            <w:shd w:val="clear" w:color="auto" w:fill="F1F1F1" w:themeFill="background1" w:themeFillShade="F2"/>
          </w:tcPr>
          <w:p w14:paraId="39646144">
            <w:pPr>
              <w:pStyle w:val="152"/>
              <w:spacing w:before="113"/>
              <w:ind w:right="195"/>
              <w:jc w:val="center"/>
              <w:rPr>
                <w:rFonts w:asciiTheme="minorHAnsi" w:hAnsiTheme="minorHAnsi" w:cstheme="minorHAnsi"/>
              </w:rPr>
            </w:pPr>
            <w:r>
              <w:rPr>
                <w:rFonts w:asciiTheme="minorHAnsi" w:hAnsiTheme="minorHAnsi" w:cstheme="minorHAnsi"/>
                <w:spacing w:val="-5"/>
              </w:rPr>
              <w:t>01</w:t>
            </w:r>
          </w:p>
        </w:tc>
        <w:tc>
          <w:tcPr>
            <w:tcW w:w="3430" w:type="dxa"/>
            <w:shd w:val="clear" w:color="auto" w:fill="F1F1F1" w:themeFill="background1" w:themeFillShade="F2"/>
          </w:tcPr>
          <w:p w14:paraId="08C09A21">
            <w:pPr>
              <w:pStyle w:val="152"/>
              <w:spacing w:before="113"/>
              <w:ind w:left="1406"/>
              <w:rPr>
                <w:rFonts w:asciiTheme="minorHAnsi" w:hAnsiTheme="minorHAnsi" w:cstheme="minorHAnsi"/>
              </w:rPr>
            </w:pPr>
            <w:r>
              <w:rPr>
                <w:rFonts w:asciiTheme="minorHAnsi" w:hAnsiTheme="minorHAnsi" w:cstheme="minorHAnsi"/>
              </w:rPr>
              <w:t xml:space="preserve">01 </w:t>
            </w:r>
            <w:r>
              <w:rPr>
                <w:rFonts w:asciiTheme="minorHAnsi" w:hAnsiTheme="minorHAnsi" w:cstheme="minorHAnsi"/>
                <w:spacing w:val="-2"/>
              </w:rPr>
              <w:t>unidade</w:t>
            </w:r>
          </w:p>
        </w:tc>
        <w:tc>
          <w:tcPr>
            <w:tcW w:w="1419" w:type="dxa"/>
            <w:shd w:val="clear" w:color="auto" w:fill="F1F1F1" w:themeFill="background1" w:themeFillShade="F2"/>
          </w:tcPr>
          <w:p w14:paraId="7F57F873">
            <w:pPr>
              <w:pStyle w:val="152"/>
              <w:spacing w:before="113"/>
              <w:ind w:left="429"/>
              <w:rPr>
                <w:rFonts w:asciiTheme="minorHAnsi" w:hAnsiTheme="minorHAnsi" w:cstheme="minorHAnsi"/>
              </w:rPr>
            </w:pPr>
            <w:r>
              <w:rPr>
                <w:rFonts w:asciiTheme="minorHAnsi" w:hAnsiTheme="minorHAnsi" w:cstheme="minorHAnsi"/>
                <w:spacing w:val="-5"/>
              </w:rPr>
              <w:t>UND</w:t>
            </w:r>
          </w:p>
        </w:tc>
      </w:tr>
    </w:tbl>
    <w:p w14:paraId="085B409C">
      <w:pPr>
        <w:pStyle w:val="63"/>
        <w:numPr>
          <w:ilvl w:val="1"/>
          <w:numId w:val="9"/>
        </w:numPr>
        <w:spacing w:before="120" w:after="120"/>
        <w:ind w:left="1709"/>
        <w:contextualSpacing w:val="0"/>
        <w:jc w:val="both"/>
        <w:rPr>
          <w:rFonts w:asciiTheme="minorHAnsi" w:hAnsiTheme="minorHAnsi" w:cstheme="minorHAnsi"/>
          <w:bCs/>
          <w:vanish/>
          <w:color w:val="EE0000"/>
          <w:sz w:val="22"/>
          <w:szCs w:val="22"/>
        </w:rPr>
      </w:pPr>
    </w:p>
    <w:p w14:paraId="06F349DA">
      <w:pPr>
        <w:pStyle w:val="63"/>
        <w:numPr>
          <w:ilvl w:val="1"/>
          <w:numId w:val="9"/>
        </w:numPr>
        <w:spacing w:before="120" w:after="120"/>
        <w:ind w:left="1709"/>
        <w:contextualSpacing w:val="0"/>
        <w:jc w:val="both"/>
        <w:rPr>
          <w:rFonts w:asciiTheme="minorHAnsi" w:hAnsiTheme="minorHAnsi" w:cstheme="minorHAnsi"/>
          <w:bCs/>
          <w:vanish/>
          <w:color w:val="EE0000"/>
          <w:sz w:val="22"/>
          <w:szCs w:val="22"/>
        </w:rPr>
      </w:pPr>
    </w:p>
    <w:p w14:paraId="727034F3">
      <w:pPr>
        <w:pStyle w:val="63"/>
        <w:numPr>
          <w:ilvl w:val="1"/>
          <w:numId w:val="9"/>
        </w:numPr>
        <w:spacing w:before="120" w:after="120"/>
        <w:ind w:left="1709"/>
        <w:contextualSpacing w:val="0"/>
        <w:jc w:val="both"/>
        <w:rPr>
          <w:rFonts w:asciiTheme="minorHAnsi" w:hAnsiTheme="minorHAnsi" w:cstheme="minorHAnsi"/>
          <w:bCs/>
          <w:vanish/>
          <w:color w:val="EE0000"/>
          <w:sz w:val="22"/>
          <w:szCs w:val="22"/>
        </w:rPr>
      </w:pPr>
    </w:p>
    <w:p w14:paraId="2F10C852">
      <w:pPr>
        <w:pStyle w:val="63"/>
        <w:numPr>
          <w:ilvl w:val="1"/>
          <w:numId w:val="9"/>
        </w:numPr>
        <w:spacing w:before="120" w:after="120"/>
        <w:ind w:left="1709"/>
        <w:contextualSpacing w:val="0"/>
        <w:jc w:val="both"/>
        <w:rPr>
          <w:rFonts w:asciiTheme="minorHAnsi" w:hAnsiTheme="minorHAnsi" w:cstheme="minorHAnsi"/>
          <w:bCs/>
          <w:vanish/>
          <w:color w:val="EE0000"/>
          <w:sz w:val="22"/>
          <w:szCs w:val="22"/>
        </w:rPr>
      </w:pPr>
    </w:p>
    <w:p w14:paraId="5B0BCADD">
      <w:pPr>
        <w:pStyle w:val="63"/>
        <w:numPr>
          <w:ilvl w:val="1"/>
          <w:numId w:val="9"/>
        </w:numPr>
        <w:spacing w:before="120" w:after="120"/>
        <w:ind w:left="1709"/>
        <w:contextualSpacing w:val="0"/>
        <w:jc w:val="both"/>
        <w:rPr>
          <w:rFonts w:asciiTheme="minorHAnsi" w:hAnsiTheme="minorHAnsi" w:cstheme="minorHAnsi"/>
          <w:bCs/>
          <w:vanish/>
          <w:color w:val="EE0000"/>
          <w:sz w:val="22"/>
          <w:szCs w:val="22"/>
        </w:rPr>
      </w:pPr>
    </w:p>
    <w:p w14:paraId="7797345A">
      <w:pPr>
        <w:pStyle w:val="63"/>
        <w:numPr>
          <w:ilvl w:val="1"/>
          <w:numId w:val="9"/>
        </w:numPr>
        <w:spacing w:before="120" w:after="120"/>
        <w:ind w:left="0" w:firstLine="0"/>
        <w:contextualSpacing w:val="0"/>
        <w:jc w:val="both"/>
        <w:rPr>
          <w:rFonts w:asciiTheme="minorHAnsi" w:hAnsiTheme="minorHAnsi" w:cstheme="minorHAnsi"/>
          <w:bCs/>
          <w:color w:val="0070C0"/>
          <w:sz w:val="22"/>
          <w:szCs w:val="22"/>
        </w:rPr>
      </w:pPr>
      <w:r>
        <w:rPr>
          <w:rFonts w:asciiTheme="minorHAnsi" w:hAnsiTheme="minorHAnsi" w:cstheme="minorHAnsi"/>
          <w:bCs/>
          <w:color w:val="EE0000"/>
          <w:sz w:val="22"/>
          <w:szCs w:val="22"/>
        </w:rPr>
        <w:t xml:space="preserve">Fica estimado o valor global para futura aquisição em </w:t>
      </w:r>
      <w:r>
        <w:rPr>
          <w:rFonts w:asciiTheme="minorHAnsi" w:hAnsiTheme="minorHAnsi" w:cstheme="minorHAnsi"/>
          <w:bCs/>
          <w:color w:val="0070C0"/>
          <w:sz w:val="22"/>
          <w:szCs w:val="22"/>
        </w:rPr>
        <w:t>R$ 7.383.662,74 (Sete milhões, trezentos e oitenta e três mil, seiscentos e sessenta e dois reais e setenta e quatro centavos).</w:t>
      </w:r>
    </w:p>
    <w:p w14:paraId="57A585DF">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52E3B715">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44912604">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0ABD5BC1">
      <w:pPr>
        <w:pStyle w:val="63"/>
        <w:numPr>
          <w:ilvl w:val="1"/>
          <w:numId w:val="9"/>
        </w:numPr>
        <w:spacing w:before="120" w:after="120"/>
        <w:ind w:left="0" w:right="-1" w:firstLine="0"/>
        <w:contextualSpacing w:val="0"/>
        <w:jc w:val="both"/>
        <w:rPr>
          <w:rFonts w:asciiTheme="minorHAnsi" w:hAnsiTheme="minorHAnsi" w:cstheme="minorHAnsi"/>
          <w:b/>
          <w:color w:val="000000" w:themeColor="text1"/>
          <w:sz w:val="22"/>
          <w:szCs w:val="22"/>
          <w:u w:val="single"/>
          <w14:textFill>
            <w14:solidFill>
              <w14:schemeClr w14:val="tx1"/>
            </w14:solidFill>
          </w14:textFill>
        </w:rPr>
      </w:pPr>
      <w:r>
        <w:rPr>
          <w:rFonts w:asciiTheme="minorHAnsi" w:hAnsiTheme="minorHAnsi" w:cstheme="minorHAnsi"/>
          <w:b/>
          <w:color w:val="000000" w:themeColor="text1"/>
          <w:sz w:val="22"/>
          <w:szCs w:val="22"/>
          <w:u w:val="single"/>
          <w14:textFill>
            <w14:solidFill>
              <w14:schemeClr w14:val="tx1"/>
            </w14:solidFill>
          </w14:textFill>
        </w:rPr>
        <w:t>Da vigência da Ata de Registro de Preços</w:t>
      </w:r>
    </w:p>
    <w:p w14:paraId="0368CB4F">
      <w:pPr>
        <w:pStyle w:val="63"/>
        <w:numPr>
          <w:ilvl w:val="2"/>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prazo de vigência da ata de registro de preços será de um ano, contado do primeiro dia útil subsequente à data de divulgação no PNCP, e poderá ser prorrogado por igual período, desde que comprovado que o preço é vantajoso para Administração (art. nº 22 do Decreto nº 11.462, de 2023 e art. 84 da Lei nº 14.133/2021).</w:t>
      </w:r>
    </w:p>
    <w:p w14:paraId="1631EBB3">
      <w:pPr>
        <w:pStyle w:val="63"/>
        <w:numPr>
          <w:ilvl w:val="2"/>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decorrente da ata de registro e preços terá sua vigência estabelecida na forma prevista no art. 105 da Lei nº 14.133, de 2021.</w:t>
      </w:r>
    </w:p>
    <w:p w14:paraId="3E1838B5">
      <w:pPr>
        <w:pStyle w:val="63"/>
        <w:numPr>
          <w:ilvl w:val="2"/>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É facultada, nos termos do PARECER Nº 00075/2024/DECOR/CGU/AGU e da legislação pertinente, a prorrogação da vigência da Ata de Registro de Preços, bem como a renovação dos quantitativos registrados, desde que demonstrado o interesse público.</w:t>
      </w:r>
    </w:p>
    <w:p w14:paraId="35111DAF">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74D03075">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9B6E7E3">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1D43E9E3">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3CE5EDDE">
      <w:pPr>
        <w:pStyle w:val="63"/>
        <w:numPr>
          <w:ilvl w:val="0"/>
          <w:numId w:val="9"/>
        </w:numPr>
        <w:shd w:val="clear" w:color="auto" w:fill="F1F1F1" w:themeFill="background1" w:themeFillShade="F2"/>
        <w:jc w:val="both"/>
        <w:rPr>
          <w:rFonts w:asciiTheme="minorHAnsi" w:hAnsiTheme="minorHAnsi" w:cstheme="minorHAnsi"/>
          <w:b/>
          <w:bCs/>
          <w:sz w:val="22"/>
          <w:szCs w:val="22"/>
        </w:rPr>
      </w:pPr>
      <w:r>
        <w:rPr>
          <w:rFonts w:asciiTheme="minorHAnsi" w:hAnsiTheme="minorHAnsi" w:cstheme="minorHAnsi"/>
          <w:b/>
          <w:bCs/>
          <w:sz w:val="22"/>
          <w:szCs w:val="22"/>
        </w:rPr>
        <w:t>FUNDAMENTAÇÃO E DESCRIÇÃO DA NECESSIDADE DA CONTRATAÇÃO</w:t>
      </w:r>
    </w:p>
    <w:p w14:paraId="5D2ABE5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Fundamentação da Contratação e de seus quantitativos encontra-se pormenorizada em tópico específico dos Estudos Técnicos Preliminares, </w:t>
      </w:r>
      <w:r>
        <w:rPr>
          <w:rFonts w:asciiTheme="minorHAnsi" w:hAnsiTheme="minorHAnsi" w:cstheme="minorHAnsi"/>
          <w:color w:val="0070C0"/>
          <w:sz w:val="22"/>
          <w:szCs w:val="22"/>
        </w:rPr>
        <w:t xml:space="preserve">tópico 4, </w:t>
      </w:r>
      <w:r>
        <w:rPr>
          <w:rFonts w:asciiTheme="minorHAnsi" w:hAnsiTheme="minorHAnsi" w:cstheme="minorHAnsi"/>
          <w:sz w:val="22"/>
          <w:szCs w:val="22"/>
        </w:rPr>
        <w:t>apêndice deste Termo de Referência.</w:t>
      </w:r>
    </w:p>
    <w:p w14:paraId="2767BFFE">
      <w:pPr>
        <w:pStyle w:val="26"/>
        <w:numPr>
          <w:ilvl w:val="1"/>
          <w:numId w:val="9"/>
        </w:numPr>
        <w:shd w:val="clear" w:color="auto" w:fill="FFFFFF"/>
        <w:spacing w:before="120" w:beforeAutospacing="0" w:after="120" w:afterAutospacing="0"/>
        <w:ind w:left="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O objeto da contratação está previsto no Plano de Contratações Anual 2026, conforme detalhamento a seguir:</w:t>
      </w:r>
    </w:p>
    <w:p w14:paraId="67DE8393">
      <w:pPr>
        <w:pStyle w:val="26"/>
        <w:numPr>
          <w:ilvl w:val="2"/>
          <w:numId w:val="9"/>
        </w:numPr>
        <w:shd w:val="clear" w:color="auto" w:fill="FFFFFF"/>
        <w:spacing w:before="0" w:beforeAutospacing="0" w:after="0" w:afterAutospacing="0"/>
        <w:ind w:left="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ID PCA no PNCP: </w:t>
      </w:r>
      <w:r>
        <w:rPr>
          <w:rFonts w:asciiTheme="minorHAnsi" w:hAnsiTheme="minorHAnsi" w:cstheme="minorHAnsi"/>
          <w:color w:val="FF0000"/>
          <w:sz w:val="22"/>
          <w:szCs w:val="22"/>
          <w:shd w:val="clear" w:color="auto" w:fill="FFFFFF"/>
        </w:rPr>
        <w:t>15180714000104-0-000001/2026</w:t>
      </w:r>
    </w:p>
    <w:p w14:paraId="72FBD0D3">
      <w:pPr>
        <w:pStyle w:val="26"/>
        <w:numPr>
          <w:ilvl w:val="2"/>
          <w:numId w:val="9"/>
        </w:numPr>
        <w:shd w:val="clear" w:color="auto" w:fill="FFFFFF"/>
        <w:spacing w:before="0" w:beforeAutospacing="0" w:after="0" w:afterAutospacing="0"/>
        <w:ind w:left="0" w:firstLine="0"/>
        <w:jc w:val="both"/>
        <w:rPr>
          <w:rStyle w:val="184"/>
          <w:rFonts w:asciiTheme="minorHAnsi" w:hAnsiTheme="minorHAnsi" w:cstheme="minorHAnsi"/>
          <w:sz w:val="22"/>
          <w:szCs w:val="22"/>
        </w:rPr>
      </w:pPr>
      <w:r>
        <w:rPr>
          <w:rFonts w:asciiTheme="minorHAnsi" w:hAnsiTheme="minorHAnsi" w:cstheme="minorHAnsi"/>
          <w:color w:val="000000"/>
          <w:sz w:val="22"/>
          <w:szCs w:val="22"/>
        </w:rPr>
        <w:t>Data de publicação no PNCP: </w:t>
      </w:r>
      <w:r>
        <w:fldChar w:fldCharType="begin"/>
      </w:r>
      <w:r>
        <w:instrText xml:space="preserve"> HYPERLINK "https://ufbamail.ufba.br/calendar/day/1744191097886" </w:instrText>
      </w:r>
      <w:r>
        <w:fldChar w:fldCharType="separate"/>
      </w:r>
      <w:r>
        <w:rPr>
          <w:rStyle w:val="17"/>
          <w:rFonts w:asciiTheme="minorHAnsi" w:hAnsiTheme="minorHAnsi" w:cstheme="minorHAnsi"/>
          <w:color w:val="0076A8"/>
          <w:sz w:val="22"/>
          <w:szCs w:val="22"/>
        </w:rPr>
        <w:t>09/04/2025</w:t>
      </w:r>
      <w:r>
        <w:rPr>
          <w:rStyle w:val="17"/>
          <w:rFonts w:asciiTheme="minorHAnsi" w:hAnsiTheme="minorHAnsi" w:cstheme="minorHAnsi"/>
          <w:color w:val="0076A8"/>
          <w:sz w:val="22"/>
          <w:szCs w:val="22"/>
        </w:rPr>
        <w:fldChar w:fldCharType="end"/>
      </w:r>
    </w:p>
    <w:p w14:paraId="6E3F24C8">
      <w:pPr>
        <w:pStyle w:val="26"/>
        <w:numPr>
          <w:ilvl w:val="2"/>
          <w:numId w:val="9"/>
        </w:numPr>
        <w:shd w:val="clear" w:color="auto" w:fill="FFFFFF"/>
        <w:spacing w:before="0" w:beforeAutospacing="0" w:after="0" w:afterAutospacing="0"/>
        <w:ind w:left="0" w:firstLine="0"/>
        <w:rPr>
          <w:rFonts w:asciiTheme="minorHAnsi" w:hAnsiTheme="minorHAnsi" w:cstheme="minorHAnsi"/>
          <w:sz w:val="22"/>
          <w:szCs w:val="22"/>
        </w:rPr>
      </w:pPr>
      <w:r>
        <w:rPr>
          <w:rFonts w:asciiTheme="minorHAnsi" w:hAnsiTheme="minorHAnsi" w:cstheme="minorHAnsi"/>
          <w:color w:val="000000"/>
          <w:sz w:val="22"/>
          <w:szCs w:val="22"/>
        </w:rPr>
        <w:t>Link da publicação no PNCP</w:t>
      </w:r>
      <w:r>
        <w:rPr>
          <w:rFonts w:asciiTheme="minorHAnsi" w:hAnsiTheme="minorHAnsi" w:cstheme="minorHAnsi"/>
          <w:color w:val="FF0000"/>
          <w:sz w:val="22"/>
          <w:szCs w:val="22"/>
        </w:rPr>
        <w:t>: </w:t>
      </w:r>
      <w:r>
        <w:fldChar w:fldCharType="begin"/>
      </w:r>
      <w:r>
        <w:instrText xml:space="preserve"> HYPERLINK "https://pncp.gov.br/app/pca/15180714000104/2026/1;" \t "_blank" </w:instrText>
      </w:r>
      <w:r>
        <w:fldChar w:fldCharType="separate"/>
      </w:r>
      <w:r>
        <w:rPr>
          <w:rStyle w:val="17"/>
          <w:rFonts w:asciiTheme="minorHAnsi" w:hAnsiTheme="minorHAnsi" w:cstheme="minorHAnsi"/>
          <w:color w:val="FF0000"/>
          <w:sz w:val="22"/>
          <w:szCs w:val="22"/>
        </w:rPr>
        <w:t>https://pncp.gov.br/app/pca/15180714000104/2026/1</w:t>
      </w:r>
      <w:r>
        <w:rPr>
          <w:rStyle w:val="17"/>
          <w:rFonts w:asciiTheme="minorHAnsi" w:hAnsiTheme="minorHAnsi" w:cstheme="minorHAnsi"/>
          <w:color w:val="FF0000"/>
          <w:sz w:val="22"/>
          <w:szCs w:val="22"/>
        </w:rPr>
        <w:fldChar w:fldCharType="end"/>
      </w:r>
      <w:r>
        <w:rPr>
          <w:rFonts w:asciiTheme="minorHAnsi" w:hAnsiTheme="minorHAnsi" w:cstheme="minorHAnsi"/>
          <w:color w:val="FF0000"/>
          <w:sz w:val="22"/>
          <w:szCs w:val="22"/>
        </w:rPr>
        <w:t>.</w:t>
      </w:r>
    </w:p>
    <w:p w14:paraId="0154D2B6">
      <w:pPr>
        <w:pStyle w:val="63"/>
        <w:widowControl w:val="0"/>
        <w:numPr>
          <w:ilvl w:val="1"/>
          <w:numId w:val="9"/>
        </w:numPr>
        <w:tabs>
          <w:tab w:val="left" w:pos="850"/>
          <w:tab w:val="left" w:pos="8080"/>
        </w:tabs>
        <w:autoSpaceDE w:val="0"/>
        <w:autoSpaceDN w:val="0"/>
        <w:spacing w:before="114"/>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Hospital Ana Nery (HAN) é uma instituição de ensino, referência nas áreas de cardiologia, nefrologia</w:t>
      </w:r>
      <w:r>
        <w:rPr>
          <w:rFonts w:asciiTheme="minorHAnsi" w:hAnsiTheme="minorHAnsi" w:cstheme="minorHAnsi"/>
          <w:color w:val="EE0000"/>
          <w:spacing w:val="-2"/>
          <w:sz w:val="22"/>
          <w:szCs w:val="22"/>
        </w:rPr>
        <w:t xml:space="preserve"> </w:t>
      </w:r>
      <w:r>
        <w:rPr>
          <w:rFonts w:asciiTheme="minorHAnsi" w:hAnsiTheme="minorHAnsi" w:cstheme="minorHAnsi"/>
          <w:color w:val="EE0000"/>
          <w:sz w:val="22"/>
          <w:szCs w:val="22"/>
        </w:rPr>
        <w:t>e cirurgia vascular que</w:t>
      </w:r>
      <w:r>
        <w:rPr>
          <w:rFonts w:asciiTheme="minorHAnsi" w:hAnsiTheme="minorHAnsi" w:cstheme="minorHAnsi"/>
          <w:color w:val="EE0000"/>
          <w:spacing w:val="-2"/>
          <w:sz w:val="22"/>
          <w:szCs w:val="22"/>
        </w:rPr>
        <w:t xml:space="preserve"> </w:t>
      </w:r>
      <w:r>
        <w:rPr>
          <w:rFonts w:asciiTheme="minorHAnsi" w:hAnsiTheme="minorHAnsi" w:cstheme="minorHAnsi"/>
          <w:color w:val="EE0000"/>
          <w:sz w:val="22"/>
          <w:szCs w:val="22"/>
        </w:rPr>
        <w:t>atende</w:t>
      </w:r>
      <w:r>
        <w:rPr>
          <w:rFonts w:asciiTheme="minorHAnsi" w:hAnsiTheme="minorHAnsi" w:cstheme="minorHAnsi"/>
          <w:color w:val="EE0000"/>
          <w:spacing w:val="-2"/>
          <w:sz w:val="22"/>
          <w:szCs w:val="22"/>
        </w:rPr>
        <w:t xml:space="preserve"> </w:t>
      </w:r>
      <w:r>
        <w:rPr>
          <w:rFonts w:asciiTheme="minorHAnsi" w:hAnsiTheme="minorHAnsi" w:cstheme="minorHAnsi"/>
          <w:color w:val="EE0000"/>
          <w:sz w:val="22"/>
          <w:szCs w:val="22"/>
        </w:rPr>
        <w:t>exclusivamente pacientes do Sistema Único de Saúde – SUS, prestando a esta população importantes serviços nas áreas de cirurgia cardíaca (adultos e pediátrico), cirurgia vascular, implantação de marca-passo, transplante renal e cirurgia geral, dentre outros.</w:t>
      </w:r>
    </w:p>
    <w:p w14:paraId="222EAB73">
      <w:pPr>
        <w:pStyle w:val="63"/>
        <w:widowControl w:val="0"/>
        <w:numPr>
          <w:ilvl w:val="1"/>
          <w:numId w:val="9"/>
        </w:numPr>
        <w:tabs>
          <w:tab w:val="left" w:pos="850"/>
        </w:tabs>
        <w:autoSpaceDE w:val="0"/>
        <w:autoSpaceDN w:val="0"/>
        <w:spacing w:before="118"/>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Considerando a</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importância da continuidade e do pleno exercício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dos</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serviços oferecidos pelo Hospital Ana Nery (HAN), a referida contratação, a fim de manter o pleno funcionamento das atividades, visando o suporte planejado às tarefas e ações operacionais e assistenciais planejadas.</w:t>
      </w:r>
    </w:p>
    <w:p w14:paraId="350E2F86">
      <w:pPr>
        <w:pStyle w:val="63"/>
        <w:widowControl w:val="0"/>
        <w:numPr>
          <w:ilvl w:val="1"/>
          <w:numId w:val="9"/>
        </w:numPr>
        <w:tabs>
          <w:tab w:val="left" w:pos="850"/>
        </w:tabs>
        <w:autoSpaceDE w:val="0"/>
        <w:autoSpaceDN w:val="0"/>
        <w:spacing w:before="122"/>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contratação em tela atenderá as necessidades do HAN quanto a manutenção dos procedimentos médicos realizados na HEMODINÂMICA e CENTRO CIRÚRGICO, cabe ressaltar os quantitativos solicitados foram estimados com</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base nas informações de consumo, extraídas do sistema de gestão de estoques do HAN, para atender a sua demanda anual e foram aprovados e autorizados</w:t>
      </w:r>
      <w:r>
        <w:rPr>
          <w:rFonts w:asciiTheme="minorHAnsi" w:hAnsiTheme="minorHAnsi" w:cstheme="minorHAnsi"/>
          <w:color w:val="EE0000"/>
          <w:spacing w:val="40"/>
          <w:sz w:val="22"/>
          <w:szCs w:val="22"/>
        </w:rPr>
        <w:t xml:space="preserve"> </w:t>
      </w:r>
      <w:r>
        <w:rPr>
          <w:rFonts w:asciiTheme="minorHAnsi" w:hAnsiTheme="minorHAnsi" w:cstheme="minorHAnsi"/>
          <w:color w:val="EE0000"/>
          <w:sz w:val="22"/>
          <w:szCs w:val="22"/>
        </w:rPr>
        <w:t>pela autoridade competente desta unidade.</w:t>
      </w:r>
    </w:p>
    <w:p w14:paraId="29D2E4B2">
      <w:pPr>
        <w:pStyle w:val="63"/>
        <w:numPr>
          <w:ilvl w:val="1"/>
          <w:numId w:val="9"/>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Trata-se da aquisição de materiais de consumo médico-hospitalar, onde justifica-se que são insumos de grande importância para garantir a qualidade e a segurança dos procedimentos médicos.</w:t>
      </w:r>
    </w:p>
    <w:p w14:paraId="4636C08F">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bookmarkStart w:id="90" w:name="art3iii"/>
      <w:bookmarkEnd w:id="90"/>
    </w:p>
    <w:p w14:paraId="01B53357">
      <w:pPr>
        <w:pStyle w:val="63"/>
        <w:spacing w:before="120" w:after="120"/>
        <w:ind w:left="2268"/>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“Art. 3º O SRP poderá ser adotado quando a Administração julgar pertinente, em especial:</w:t>
      </w:r>
    </w:p>
    <w:p w14:paraId="37099A58">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2B0AD993">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8215C2C">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39135F99">
      <w:pPr>
        <w:pStyle w:val="20"/>
        <w:spacing w:before="120" w:beforeAutospacing="0" w:after="120" w:afterAutospacing="0"/>
        <w:ind w:left="2268" w:right="-1"/>
        <w:jc w:val="both"/>
        <w:rPr>
          <w:rFonts w:asciiTheme="minorHAnsi" w:hAnsiTheme="minorHAnsi" w:cstheme="minorHAnsi"/>
          <w:color w:val="EE0000"/>
          <w:sz w:val="22"/>
          <w:szCs w:val="22"/>
        </w:rPr>
      </w:pPr>
      <w:bookmarkStart w:id="91" w:name="art3iiv"/>
      <w:bookmarkEnd w:id="91"/>
      <w:r>
        <w:rPr>
          <w:rFonts w:asciiTheme="minorHAnsi" w:hAnsiTheme="minorHAnsi" w:cstheme="minorHAnsi"/>
          <w:color w:val="EE0000"/>
          <w:sz w:val="22"/>
          <w:szCs w:val="22"/>
        </w:rPr>
        <w:t>V - Quando, pela natureza do objeto, não for possível definir previamente o quantitativo a ser demandado pela Administração.”</w:t>
      </w:r>
    </w:p>
    <w:p w14:paraId="2CF7A917">
      <w:pPr>
        <w:pStyle w:val="63"/>
        <w:numPr>
          <w:ilvl w:val="0"/>
          <w:numId w:val="9"/>
        </w:numPr>
        <w:shd w:val="clear" w:color="auto" w:fill="F1F1F1" w:themeFill="background1" w:themeFillShade="F2"/>
        <w:ind w:left="0" w:firstLine="0"/>
        <w:rPr>
          <w:rFonts w:asciiTheme="minorHAnsi" w:hAnsiTheme="minorHAnsi" w:cstheme="minorHAnsi"/>
          <w:b/>
          <w:bCs/>
          <w:sz w:val="22"/>
          <w:szCs w:val="22"/>
        </w:rPr>
      </w:pPr>
      <w:r>
        <w:rPr>
          <w:rFonts w:asciiTheme="minorHAnsi" w:hAnsiTheme="minorHAnsi" w:cstheme="minorHAnsi"/>
          <w:b/>
          <w:bCs/>
          <w:sz w:val="22"/>
          <w:szCs w:val="22"/>
        </w:rPr>
        <w:t>DESCRIÇÃO DA SOLUÇÃO COMO UM TODO CONSIDERADO O CICLO DE VIDA DO OBJETO E ESPECIFICAÇÃO DO PRODUTO</w:t>
      </w:r>
    </w:p>
    <w:p w14:paraId="4D010E05">
      <w:pPr>
        <w:pStyle w:val="63"/>
        <w:numPr>
          <w:ilvl w:val="1"/>
          <w:numId w:val="9"/>
        </w:numPr>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Do Escopo Geral da Solução</w:t>
      </w:r>
    </w:p>
    <w:p w14:paraId="5C2B707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presente solução consiste na aquisição de materiais especializados destinados a suprir os procedimentos de Cárdio-Hemodinâmica e Cirurgia Cardíaca do Hospital Ana Nery, mediante o Sistema de Registro de Preços, pelo período de 12 (doze) meses, conforme as quantidades, especificações detalhadas e condições fixadas neste instrumento e em seus anexos.</w:t>
      </w:r>
    </w:p>
    <w:p w14:paraId="1945B3F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descrição macro da solução, as alternativas tecnológicas avaliadas, os requisitos de qualidade e a justificativa do modelo eleito encontram-se pormenorizados no Item 13 do Estudo Técnico Preliminar (ETP), documento apêndice e indissociável deste Termo de Referência.</w:t>
      </w:r>
    </w:p>
    <w:p w14:paraId="312EC859">
      <w:pPr>
        <w:pStyle w:val="63"/>
        <w:numPr>
          <w:ilvl w:val="1"/>
          <w:numId w:val="9"/>
        </w:numPr>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Do Ciclo de Vida do Objeto</w:t>
      </w:r>
    </w:p>
    <w:p w14:paraId="5F2146B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planejamento desta contratação considera o ciclo de vida dos produtos desde a sua fabricação, recebimento, armazenamento em ambiente hospitalar seguro, rastreabilidade interna até a sua efetiva utilização no ato cirúrgico, incluindo as obrigações de descarte das embalagens estruturais por meio de logística reversa e gerenciamento de resíduos de saúde (RDC ANVISA nº 222/2018), visando garantir a sustentabilidade, a eficiência do gasto e a segurança do paciente.</w:t>
      </w:r>
    </w:p>
    <w:p w14:paraId="30055593">
      <w:pPr>
        <w:pStyle w:val="63"/>
        <w:numPr>
          <w:ilvl w:val="1"/>
          <w:numId w:val="9"/>
        </w:numPr>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Do Regime de Consignação (Específico para o Item 01)</w:t>
      </w:r>
    </w:p>
    <w:p w14:paraId="631F718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execução do Item 01 dar-se-á, obrigatoriamente, sob o Regime de Consignação, caracterizado pelo depósito prévio dos materiais de Cárdio-Hemodinâmica nas dependências do Hospital Ana Nery por conta e risco da Contratada, sem ônus financeiro imediato para a Administração.</w:t>
      </w:r>
    </w:p>
    <w:p w14:paraId="2341348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faturamento e a consequente emissão da Nota de Empenho ocorrerão de forma parcelada, restritos e proporcionais aos quantitativos efetivamente utilizados/consumidos nos procedimentos médicos realizados pela instituição, mediante relatório de consumo validado pela coordenação técnica da unidade de hemodinâmica.</w:t>
      </w:r>
    </w:p>
    <w:p w14:paraId="2EC6518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regras detalhadas de operacionalização, reposição de estoque consignado, prazos de validade mínimos dos produtos em depósito e fluxos de auditoria de consumo estão disciplinados em capítulo específico deste Termo de Referência.</w:t>
      </w:r>
    </w:p>
    <w:p w14:paraId="0554D20D">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REQUISITOS DA CONTRATAÇÃO</w:t>
      </w:r>
    </w:p>
    <w:p w14:paraId="69C56C48">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Sustentabilidade</w:t>
      </w:r>
    </w:p>
    <w:p w14:paraId="6B8E3779">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Além dos critérios de sustentabilidade eventualmente inseridos na descrição técnica do objeto, os materiais de consumo destinados aos procedimentos cárdio hemodinâmicos e de cirurgia cardíaca deverão atender aos seguintes requisitos, baseados no Guia Nacional de Contratações Sustentáveis e na legislação ambiental vigente:</w:t>
      </w:r>
    </w:p>
    <w:p w14:paraId="60558ED9">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Certificações e Regularidade Ambiental do Fabricante</w:t>
      </w:r>
    </w:p>
    <w:p w14:paraId="69DFB2B3">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fornecimento de itens cuja atividade de fabricação ou industrialização seja enquadrada no Anexo I da Instrução Normativa IBAMA nº 06/2013, só será admitida a oferta de materiais cujo fabricante esteja regularmente registrado e em situação regular no Cadastro Técnico Federal (CTF) de Atividades Potencialmente Poluidoras ou Utilizadoras de Recursos Ambientais (Art. 17, II, da Lei nº 6.938/1981).</w:t>
      </w:r>
    </w:p>
    <w:p w14:paraId="269D0B1C">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bens ofertados deverão, sempre que aplicável e sem prejuízo das normas sanitárias da ANVISA, observar os requisitos ambientais para a obtenção de certificação do INMETRO (ou ecorrótulos reconhecidos) como produtos de menor impacto ambiental em relação aos seus similares (Art. 5º, II da IN nº 01/2010 SEGES/MGI).</w:t>
      </w:r>
    </w:p>
    <w:p w14:paraId="3AD96444">
      <w:pPr>
        <w:pStyle w:val="63"/>
        <w:numPr>
          <w:ilvl w:val="2"/>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color w:val="EE0000"/>
          <w:sz w:val="22"/>
          <w:szCs w:val="22"/>
          <w:u w:val="single"/>
        </w:rPr>
        <w:t>Embalagens e Condicionamento Sustentável</w:t>
      </w:r>
    </w:p>
    <w:p w14:paraId="1593E5BF">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materiais deverão ser acondicionados em embalagens individuais que garantam a máxima proteção, esterilidade e integridade do produto durante o transporte e armazenamento, utilizando o menor volume possível de matéria-prima.</w:t>
      </w:r>
    </w:p>
    <w:p w14:paraId="6E05C897">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As embalagens secundárias e de transporte (caixas de papelão, plásticos de proteção) devem ser constituídas, preferencialmente, por material reciclado, reciclável ou de fontes manejadas de forma sustentável, devidamente identificadas para facilitar a triagem e a destinação correta pelo Hospital Ana Nery.</w:t>
      </w:r>
    </w:p>
    <w:p w14:paraId="5681F006">
      <w:pPr>
        <w:pStyle w:val="63"/>
        <w:numPr>
          <w:ilvl w:val="2"/>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color w:val="EE0000"/>
          <w:sz w:val="22"/>
          <w:szCs w:val="22"/>
          <w:u w:val="single"/>
        </w:rPr>
        <w:t>Restrição de Substâncias Perigosas (Diretiva RoHS)</w:t>
      </w:r>
    </w:p>
    <w:p w14:paraId="1BDB6E68">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materiais de consumo médico-hospitalares e seus componentes eletroeletrônicos associados (quando houver) não deverão conter substâncias perigosas em concentração acima da recomendada na Diretiva RoHS (Restriction of Hazardous Substances), tais como Mercúrio (Hg), Chumbo (Pb), Cromo Hexavalente (Cr VI), Cádmio (Cd), Bifenilpolibromados (PBBs) e Éteres Difenil-polibromados (PBDEs).</w:t>
      </w:r>
    </w:p>
    <w:p w14:paraId="3DEA47B4">
      <w:pPr>
        <w:pStyle w:val="63"/>
        <w:numPr>
          <w:ilvl w:val="2"/>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color w:val="EE0000"/>
          <w:sz w:val="22"/>
          <w:szCs w:val="22"/>
          <w:u w:val="single"/>
        </w:rPr>
        <w:t>Gestão de Resíduos e Logística Reversa (Sustentabilidade Pós-Consumo)</w:t>
      </w:r>
    </w:p>
    <w:p w14:paraId="31C940BE">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materiais e suas respectivas embalagens deverão estar adequados às normas da ABNT aplicáveis a resíduos sólidos hospitalares, em especial a NBR 12.808 e diretrizes da RDC ANVISA nº 222/2018 (Plano de Gerenciamento de Resíduos de Serviços de Saúde - PGRSS).</w:t>
      </w:r>
    </w:p>
    <w:p w14:paraId="7E2EFBBC">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Contratada deverá, quando solicitado e conforme viabilidade técnica/legal, apresentar plano ou cooperar com o sistema de logística reversa para o recolhimento e destinação final ambientalmente adequada das embalagens e sobras de materiais que não configurem risco biológico intransponível, em conformidade com a Política Nacional de Resíduos Sólidos (Lei nº 12.305/2010).</w:t>
      </w:r>
    </w:p>
    <w:p w14:paraId="03B76869">
      <w:pPr>
        <w:pStyle w:val="63"/>
        <w:numPr>
          <w:ilvl w:val="2"/>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color w:val="EE0000"/>
          <w:sz w:val="22"/>
          <w:szCs w:val="22"/>
          <w:u w:val="single"/>
        </w:rPr>
        <w:t>Alinhamento Legal e Desenvolvimento Nacional Sustentável</w:t>
      </w:r>
    </w:p>
    <w:p w14:paraId="27BCE8C1">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Com o objetivo de promover o desenvolvimento nacional sustentável, a Contratada submete-se ao cumprimento das diretrizes e critérios de sustentabilidade ambiental, nos termos do art. 225 da Constituição Federal/88, do art. 5º da Lei nº 14.133/2021 (Nova Lei de Licitações), do Decreto nº 7.746/2012 e da Instrução Normativa SEGES/MGI nº 01/2010.</w:t>
      </w:r>
    </w:p>
    <w:p w14:paraId="2EC5CF83">
      <w:pPr>
        <w:pStyle w:val="63"/>
        <w:numPr>
          <w:ilvl w:val="1"/>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color w:val="EE0000"/>
          <w:sz w:val="22"/>
          <w:szCs w:val="22"/>
          <w:u w:val="single"/>
        </w:rPr>
        <w:t>O Fornecedor deverá:</w:t>
      </w:r>
    </w:p>
    <w:p w14:paraId="5E74F5C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os itens conforme especificações  deste Termo de Referência e contrato ou instrumento equivalente, com os recursos necessários ao perfeito cumprimento das cláusulas contratuais;</w:t>
      </w:r>
    </w:p>
    <w:p w14:paraId="2107E144">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Fornecer o material, na qualidade e quantidade especificada, nos termos de sua proposta;</w:t>
      </w:r>
    </w:p>
    <w:p w14:paraId="6BED512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3C551EA7">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073A1EB1">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Ana Nery ou a terceiros;</w:t>
      </w:r>
    </w:p>
    <w:p w14:paraId="61C63229">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22063215">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Empresa deverá manter, durante toda a execução do contrato, compatibilidade com as obrigações assumidas, relacionadas neste Termo de Referência e no contrato;</w:t>
      </w:r>
    </w:p>
    <w:p w14:paraId="4D11932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Termo de Referência e no contrato, exceto quando ocorrer algum dos eventos arrolados incisos no art. 105 da Lei nº 14.133, de 01/04/2021;</w:t>
      </w:r>
    </w:p>
    <w:p w14:paraId="43A32464">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5C0C25BE">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Prestar todos os esclarecimentos que forem solicitados pelo Hospital Ana Nery, cujas reclamações se obrigam prontamente a atender; </w:t>
      </w:r>
    </w:p>
    <w:p w14:paraId="7B51960D">
      <w:pPr>
        <w:pStyle w:val="63"/>
        <w:numPr>
          <w:ilvl w:val="1"/>
          <w:numId w:val="9"/>
        </w:numPr>
        <w:spacing w:before="120" w:after="120"/>
        <w:ind w:left="0" w:firstLine="0"/>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São expressamente vedadas à Empresa:</w:t>
      </w:r>
    </w:p>
    <w:p w14:paraId="47D40526">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veiculação de publicidade acerca deste Termo de Referência e do contrato, salvo se houver prévia autorização da Administração;</w:t>
      </w:r>
    </w:p>
    <w:p w14:paraId="29844D6A">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transferência de qualquer de suas responsabilidades para outras entidades, sejam fabricantes, técnicos, subempreiteiros etc.</w:t>
      </w:r>
    </w:p>
    <w:p w14:paraId="2D7CE7FE">
      <w:pPr>
        <w:pStyle w:val="63"/>
        <w:numPr>
          <w:ilvl w:val="1"/>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b/>
          <w:bCs/>
          <w:sz w:val="22"/>
          <w:szCs w:val="22"/>
          <w:u w:val="single"/>
        </w:rPr>
        <w:t xml:space="preserve">Da exigência de amostra </w:t>
      </w:r>
      <w:r>
        <w:rPr>
          <w:rFonts w:asciiTheme="minorHAnsi" w:hAnsiTheme="minorHAnsi" w:cstheme="minorHAnsi"/>
          <w:b/>
          <w:bCs/>
          <w:color w:val="0070C0"/>
          <w:sz w:val="22"/>
          <w:szCs w:val="22"/>
          <w:u w:val="single"/>
        </w:rPr>
        <w:t>(Tópico 8 do ETP)</w:t>
      </w:r>
    </w:p>
    <w:p w14:paraId="130D2126">
      <w:pPr>
        <w:pStyle w:val="63"/>
        <w:widowControl w:val="0"/>
        <w:numPr>
          <w:ilvl w:val="2"/>
          <w:numId w:val="9"/>
        </w:numPr>
        <w:tabs>
          <w:tab w:val="left" w:pos="905"/>
        </w:tabs>
        <w:autoSpaceDE w:val="0"/>
        <w:autoSpaceDN w:val="0"/>
        <w:spacing w:before="114"/>
        <w:ind w:left="0" w:right="422" w:firstLine="0"/>
        <w:contextualSpacing w:val="0"/>
        <w:jc w:val="both"/>
        <w:rPr>
          <w:rFonts w:asciiTheme="minorHAnsi" w:hAnsiTheme="minorHAnsi" w:cstheme="minorHAnsi"/>
          <w:color w:val="EE0000"/>
          <w:sz w:val="22"/>
          <w:szCs w:val="22"/>
        </w:rPr>
      </w:pPr>
      <w:bookmarkStart w:id="92" w:name="_Hlk219196380"/>
      <w:r>
        <w:rPr>
          <w:rFonts w:asciiTheme="minorHAnsi" w:hAnsiTheme="minorHAnsi" w:cstheme="minorHAnsi"/>
          <w:color w:val="EE0000"/>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2DA8914D">
      <w:pPr>
        <w:pStyle w:val="63"/>
        <w:widowControl w:val="0"/>
        <w:numPr>
          <w:ilvl w:val="2"/>
          <w:numId w:val="9"/>
        </w:numPr>
        <w:tabs>
          <w:tab w:val="left" w:pos="905"/>
        </w:tabs>
        <w:autoSpaceDE w:val="0"/>
        <w:autoSpaceDN w:val="0"/>
        <w:spacing w:before="121"/>
        <w:ind w:left="0" w:right="424"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amostra, quando solicitada, será exigida apenas do licitante provisoriamente melhor classificado e deverá ser entregue no prazo e condições definidos no edital, com vistas à análise</w:t>
      </w:r>
      <w:r>
        <w:rPr>
          <w:rFonts w:asciiTheme="minorHAnsi" w:hAnsiTheme="minorHAnsi" w:cstheme="minorHAnsi"/>
          <w:color w:val="EE0000"/>
          <w:spacing w:val="40"/>
          <w:sz w:val="22"/>
          <w:szCs w:val="22"/>
        </w:rPr>
        <w:t xml:space="preserve"> </w:t>
      </w:r>
      <w:r>
        <w:rPr>
          <w:rFonts w:asciiTheme="minorHAnsi" w:hAnsiTheme="minorHAnsi" w:cstheme="minorHAnsi"/>
          <w:color w:val="EE0000"/>
          <w:sz w:val="22"/>
          <w:szCs w:val="22"/>
        </w:rPr>
        <w:t>técnica por parte da unidade demandante.</w:t>
      </w:r>
    </w:p>
    <w:p w14:paraId="4FAB8FA9">
      <w:pPr>
        <w:pStyle w:val="63"/>
        <w:widowControl w:val="0"/>
        <w:numPr>
          <w:ilvl w:val="2"/>
          <w:numId w:val="9"/>
        </w:numPr>
        <w:tabs>
          <w:tab w:val="left" w:pos="850"/>
        </w:tabs>
        <w:autoSpaceDE w:val="0"/>
        <w:autoSpaceDN w:val="0"/>
        <w:spacing w:before="119"/>
        <w:ind w:left="0" w:right="419"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Visando dar maior segurança para a futura contratação/aquisição dos itens de ÓRTESE, PRÓTESE E MATERIAL ESPECIAL, </w:t>
      </w:r>
      <w:r>
        <w:rPr>
          <w:rFonts w:asciiTheme="minorHAnsi" w:hAnsiTheme="minorHAnsi" w:cstheme="minorHAnsi"/>
          <w:b/>
          <w:bCs/>
          <w:color w:val="EE0000"/>
          <w:sz w:val="22"/>
          <w:szCs w:val="22"/>
          <w:u w:val="single"/>
        </w:rPr>
        <w:t>faz-se necessária a solicitação de amostras junto aos fornecedores na fase de avaliação e habilitação do pregão</w:t>
      </w:r>
      <w:r>
        <w:rPr>
          <w:rFonts w:asciiTheme="minorHAnsi" w:hAnsiTheme="minorHAnsi" w:cstheme="minorHAnsi"/>
          <w:color w:val="EE0000"/>
          <w:sz w:val="22"/>
          <w:szCs w:val="22"/>
        </w:rPr>
        <w:t>. A análise das amostras permitirá a</w:t>
      </w:r>
      <w:r>
        <w:rPr>
          <w:rFonts w:asciiTheme="minorHAnsi" w:hAnsiTheme="minorHAnsi" w:cstheme="minorHAnsi"/>
          <w:color w:val="EE0000"/>
          <w:spacing w:val="80"/>
          <w:sz w:val="22"/>
          <w:szCs w:val="22"/>
        </w:rPr>
        <w:t xml:space="preserve"> </w:t>
      </w:r>
      <w:r>
        <w:rPr>
          <w:rFonts w:asciiTheme="minorHAnsi" w:hAnsiTheme="minorHAnsi" w:cstheme="minorHAnsi"/>
          <w:color w:val="EE0000"/>
          <w:sz w:val="22"/>
          <w:szCs w:val="22"/>
        </w:rPr>
        <w:t>avaliação técnica e qualitativa dos itens, assegurando que os requisitos estabelecidos sejam adequados à necessidade da Administração.</w:t>
      </w:r>
    </w:p>
    <w:p w14:paraId="3C20009C">
      <w:pPr>
        <w:pStyle w:val="3"/>
        <w:keepNext w:val="0"/>
        <w:widowControl w:val="0"/>
        <w:numPr>
          <w:ilvl w:val="1"/>
          <w:numId w:val="9"/>
        </w:numPr>
        <w:tabs>
          <w:tab w:val="left" w:pos="905"/>
          <w:tab w:val="clear" w:pos="1701"/>
        </w:tabs>
        <w:autoSpaceDE w:val="0"/>
        <w:autoSpaceDN w:val="0"/>
        <w:spacing w:before="125"/>
        <w:ind w:left="0" w:righ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A</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solicitação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de</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amostras</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tem</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como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objetivos</w:t>
      </w:r>
      <w:r>
        <w:rPr>
          <w:rFonts w:asciiTheme="minorHAnsi" w:hAnsiTheme="minorHAnsi" w:cstheme="minorHAnsi"/>
          <w:color w:val="EE0000"/>
          <w:spacing w:val="-3"/>
          <w:sz w:val="22"/>
          <w:szCs w:val="22"/>
        </w:rPr>
        <w:t xml:space="preserve"> </w:t>
      </w:r>
      <w:r>
        <w:rPr>
          <w:rFonts w:asciiTheme="minorHAnsi" w:hAnsiTheme="minorHAnsi" w:cstheme="minorHAnsi"/>
          <w:color w:val="EE0000"/>
          <w:spacing w:val="-2"/>
          <w:sz w:val="22"/>
          <w:szCs w:val="22"/>
        </w:rPr>
        <w:t>principais:</w:t>
      </w:r>
    </w:p>
    <w:p w14:paraId="6F8165EA">
      <w:pPr>
        <w:pStyle w:val="63"/>
        <w:widowControl w:val="0"/>
        <w:numPr>
          <w:ilvl w:val="2"/>
          <w:numId w:val="9"/>
        </w:numPr>
        <w:tabs>
          <w:tab w:val="left" w:pos="850"/>
        </w:tabs>
        <w:autoSpaceDE w:val="0"/>
        <w:autoSpaceDN w:val="0"/>
        <w:spacing w:before="117"/>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Verificar</w:t>
      </w:r>
      <w:r>
        <w:rPr>
          <w:rFonts w:asciiTheme="minorHAnsi" w:hAnsiTheme="minorHAnsi" w:cstheme="minorHAnsi"/>
          <w:color w:val="EE0000"/>
          <w:spacing w:val="-9"/>
          <w:sz w:val="22"/>
          <w:szCs w:val="22"/>
        </w:rPr>
        <w:t xml:space="preserve"> </w:t>
      </w:r>
      <w:r>
        <w:rPr>
          <w:rFonts w:asciiTheme="minorHAnsi" w:hAnsiTheme="minorHAnsi" w:cstheme="minorHAnsi"/>
          <w:color w:val="EE0000"/>
          <w:sz w:val="22"/>
          <w:szCs w:val="22"/>
        </w:rPr>
        <w:t>a</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conformidade</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do</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produto/serviço</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com</w:t>
      </w:r>
      <w:r>
        <w:rPr>
          <w:rFonts w:asciiTheme="minorHAnsi" w:hAnsiTheme="minorHAnsi" w:cstheme="minorHAnsi"/>
          <w:color w:val="EE0000"/>
          <w:spacing w:val="-8"/>
          <w:sz w:val="22"/>
          <w:szCs w:val="22"/>
        </w:rPr>
        <w:t xml:space="preserve"> </w:t>
      </w:r>
      <w:r>
        <w:rPr>
          <w:rFonts w:asciiTheme="minorHAnsi" w:hAnsiTheme="minorHAnsi" w:cstheme="minorHAnsi"/>
          <w:color w:val="EE0000"/>
          <w:sz w:val="22"/>
          <w:szCs w:val="22"/>
        </w:rPr>
        <w:t>as</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especificações</w:t>
      </w:r>
      <w:r>
        <w:rPr>
          <w:rFonts w:asciiTheme="minorHAnsi" w:hAnsiTheme="minorHAnsi" w:cstheme="minorHAnsi"/>
          <w:color w:val="EE0000"/>
          <w:spacing w:val="-4"/>
          <w:sz w:val="22"/>
          <w:szCs w:val="22"/>
        </w:rPr>
        <w:t xml:space="preserve"> </w:t>
      </w:r>
      <w:r>
        <w:rPr>
          <w:rFonts w:asciiTheme="minorHAnsi" w:hAnsiTheme="minorHAnsi" w:cstheme="minorHAnsi"/>
          <w:color w:val="EE0000"/>
          <w:spacing w:val="-2"/>
          <w:sz w:val="22"/>
          <w:szCs w:val="22"/>
        </w:rPr>
        <w:t>preliminares;</w:t>
      </w:r>
    </w:p>
    <w:p w14:paraId="7658167F">
      <w:pPr>
        <w:pStyle w:val="63"/>
        <w:widowControl w:val="0"/>
        <w:numPr>
          <w:ilvl w:val="2"/>
          <w:numId w:val="9"/>
        </w:numPr>
        <w:tabs>
          <w:tab w:val="left" w:pos="905"/>
        </w:tabs>
        <w:autoSpaceDE w:val="0"/>
        <w:autoSpaceDN w:val="0"/>
        <w:spacing w:before="119"/>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Avaliar</w:t>
      </w:r>
      <w:r>
        <w:rPr>
          <w:rFonts w:asciiTheme="minorHAnsi" w:hAnsiTheme="minorHAnsi" w:cstheme="minorHAnsi"/>
          <w:color w:val="EE0000"/>
          <w:spacing w:val="-8"/>
          <w:sz w:val="22"/>
          <w:szCs w:val="22"/>
        </w:rPr>
        <w:t xml:space="preserve"> </w:t>
      </w:r>
      <w:r>
        <w:rPr>
          <w:rFonts w:asciiTheme="minorHAnsi" w:hAnsiTheme="minorHAnsi" w:cstheme="minorHAnsi"/>
          <w:color w:val="EE0000"/>
          <w:sz w:val="22"/>
          <w:szCs w:val="22"/>
        </w:rPr>
        <w:t>aspectos</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técnicos</w:t>
      </w:r>
      <w:r>
        <w:rPr>
          <w:rFonts w:asciiTheme="minorHAnsi" w:hAnsiTheme="minorHAnsi" w:cstheme="minorHAnsi"/>
          <w:color w:val="EE0000"/>
          <w:spacing w:val="-6"/>
          <w:sz w:val="22"/>
          <w:szCs w:val="22"/>
        </w:rPr>
        <w:t xml:space="preserve"> </w:t>
      </w:r>
      <w:r>
        <w:rPr>
          <w:rFonts w:asciiTheme="minorHAnsi" w:hAnsiTheme="minorHAnsi" w:cstheme="minorHAnsi"/>
          <w:color w:val="EE0000"/>
          <w:sz w:val="22"/>
          <w:szCs w:val="22"/>
        </w:rPr>
        <w:t>como</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desempenho,</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durabilidade,</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funcionalidade</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e</w:t>
      </w:r>
      <w:r>
        <w:rPr>
          <w:rFonts w:asciiTheme="minorHAnsi" w:hAnsiTheme="minorHAnsi" w:cstheme="minorHAnsi"/>
          <w:color w:val="EE0000"/>
          <w:spacing w:val="-4"/>
          <w:sz w:val="22"/>
          <w:szCs w:val="22"/>
        </w:rPr>
        <w:t xml:space="preserve"> </w:t>
      </w:r>
      <w:r>
        <w:rPr>
          <w:rFonts w:asciiTheme="minorHAnsi" w:hAnsiTheme="minorHAnsi" w:cstheme="minorHAnsi"/>
          <w:color w:val="EE0000"/>
          <w:spacing w:val="-2"/>
          <w:sz w:val="22"/>
          <w:szCs w:val="22"/>
        </w:rPr>
        <w:t>ergonomia;</w:t>
      </w:r>
    </w:p>
    <w:p w14:paraId="1D49C7BF">
      <w:pPr>
        <w:pStyle w:val="63"/>
        <w:widowControl w:val="0"/>
        <w:numPr>
          <w:ilvl w:val="2"/>
          <w:numId w:val="9"/>
        </w:numPr>
        <w:tabs>
          <w:tab w:val="left" w:pos="905"/>
        </w:tabs>
        <w:autoSpaceDE w:val="0"/>
        <w:autoSpaceDN w:val="0"/>
        <w:spacing w:before="119"/>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Assegurar</w:t>
      </w:r>
      <w:r>
        <w:rPr>
          <w:rFonts w:asciiTheme="minorHAnsi" w:hAnsiTheme="minorHAnsi" w:cstheme="minorHAnsi"/>
          <w:color w:val="EE0000"/>
          <w:spacing w:val="-8"/>
          <w:sz w:val="22"/>
          <w:szCs w:val="22"/>
        </w:rPr>
        <w:t xml:space="preserve"> </w:t>
      </w:r>
      <w:r>
        <w:rPr>
          <w:rFonts w:asciiTheme="minorHAnsi" w:hAnsiTheme="minorHAnsi" w:cstheme="minorHAnsi"/>
          <w:color w:val="EE0000"/>
          <w:sz w:val="22"/>
          <w:szCs w:val="22"/>
        </w:rPr>
        <w:t>a</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escolha</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da</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solução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mais</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vantajosa,</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considerando</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a</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relação</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custo-</w:t>
      </w:r>
      <w:r>
        <w:rPr>
          <w:rFonts w:asciiTheme="minorHAnsi" w:hAnsiTheme="minorHAnsi" w:cstheme="minorHAnsi"/>
          <w:color w:val="EE0000"/>
          <w:spacing w:val="-2"/>
          <w:sz w:val="22"/>
          <w:szCs w:val="22"/>
        </w:rPr>
        <w:t>benefício;</w:t>
      </w:r>
    </w:p>
    <w:p w14:paraId="42242661">
      <w:pPr>
        <w:pStyle w:val="63"/>
        <w:widowControl w:val="0"/>
        <w:numPr>
          <w:ilvl w:val="2"/>
          <w:numId w:val="9"/>
        </w:numPr>
        <w:tabs>
          <w:tab w:val="left" w:pos="905"/>
        </w:tabs>
        <w:autoSpaceDE w:val="0"/>
        <w:autoSpaceDN w:val="0"/>
        <w:spacing w:before="121"/>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Promover</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maior</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precisão</w:t>
      </w:r>
      <w:r>
        <w:rPr>
          <w:rFonts w:asciiTheme="minorHAnsi" w:hAnsiTheme="minorHAnsi" w:cstheme="minorHAnsi"/>
          <w:color w:val="EE0000"/>
          <w:spacing w:val="-7"/>
          <w:sz w:val="22"/>
          <w:szCs w:val="22"/>
        </w:rPr>
        <w:t xml:space="preserve"> </w:t>
      </w:r>
      <w:r>
        <w:rPr>
          <w:rFonts w:asciiTheme="minorHAnsi" w:hAnsiTheme="minorHAnsi" w:cstheme="minorHAnsi"/>
          <w:color w:val="EE0000"/>
          <w:sz w:val="22"/>
          <w:szCs w:val="22"/>
        </w:rPr>
        <w:t>na</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estimativa</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de</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preços</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e</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nas</w:t>
      </w:r>
      <w:r>
        <w:rPr>
          <w:rFonts w:asciiTheme="minorHAnsi" w:hAnsiTheme="minorHAnsi" w:cstheme="minorHAnsi"/>
          <w:color w:val="EE0000"/>
          <w:spacing w:val="-6"/>
          <w:sz w:val="22"/>
          <w:szCs w:val="22"/>
        </w:rPr>
        <w:t xml:space="preserve"> </w:t>
      </w:r>
      <w:r>
        <w:rPr>
          <w:rFonts w:asciiTheme="minorHAnsi" w:hAnsiTheme="minorHAnsi" w:cstheme="minorHAnsi"/>
          <w:color w:val="EE0000"/>
          <w:sz w:val="22"/>
          <w:szCs w:val="22"/>
        </w:rPr>
        <w:t>condições</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contratuais</w:t>
      </w:r>
      <w:r>
        <w:rPr>
          <w:rFonts w:asciiTheme="minorHAnsi" w:hAnsiTheme="minorHAnsi" w:cstheme="minorHAnsi"/>
          <w:color w:val="EE0000"/>
          <w:spacing w:val="-5"/>
          <w:sz w:val="22"/>
          <w:szCs w:val="22"/>
        </w:rPr>
        <w:t xml:space="preserve"> </w:t>
      </w:r>
      <w:r>
        <w:rPr>
          <w:rFonts w:asciiTheme="minorHAnsi" w:hAnsiTheme="minorHAnsi" w:cstheme="minorHAnsi"/>
          <w:color w:val="EE0000"/>
          <w:spacing w:val="-2"/>
          <w:sz w:val="22"/>
          <w:szCs w:val="22"/>
        </w:rPr>
        <w:t>futuras.</w:t>
      </w:r>
    </w:p>
    <w:p w14:paraId="76B772CC">
      <w:pPr>
        <w:pStyle w:val="63"/>
        <w:widowControl w:val="0"/>
        <w:numPr>
          <w:ilvl w:val="2"/>
          <w:numId w:val="9"/>
        </w:numPr>
        <w:tabs>
          <w:tab w:val="left" w:pos="905"/>
        </w:tabs>
        <w:autoSpaceDE w:val="0"/>
        <w:autoSpaceDN w:val="0"/>
        <w:spacing w:before="120" w:after="120"/>
        <w:ind w:left="0" w:right="419"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análise das amostras contribuirá diretamente para a mitigação de riscos, evitando contratações inadequadas ou incompatíveis com as necessidades deste nosocômio.</w:t>
      </w:r>
    </w:p>
    <w:bookmarkEnd w:id="92"/>
    <w:p w14:paraId="41393DE8">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Caso seja necessário o Pregoeiro poderá exigir do fornecedor amostras de todos os itens.</w:t>
      </w:r>
    </w:p>
    <w:p w14:paraId="6ED4B1EA">
      <w:pPr>
        <w:pStyle w:val="63"/>
        <w:numPr>
          <w:ilvl w:val="1"/>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"mailto:71.3283-5846" </w:instrText>
      </w:r>
      <w:r>
        <w:fldChar w:fldCharType="separate"/>
      </w:r>
      <w:r>
        <w:rPr>
          <w:rStyle w:val="17"/>
          <w:rFonts w:asciiTheme="minorHAnsi" w:hAnsiTheme="minorHAnsi" w:cstheme="minorHAnsi"/>
          <w:color w:val="0070C0"/>
          <w:sz w:val="22"/>
          <w:szCs w:val="22"/>
        </w:rPr>
        <w:t>71.3283-5846</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color w:val="0070C0"/>
          <w:sz w:val="22"/>
          <w:szCs w:val="22"/>
        </w:rPr>
        <w:t>licitacaosiunis@ufba.br</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no prazo limite de 05 (cinco) dias corridos, sendo que a empresa assume total responsabilidade pelo envio e por eventual atraso na entrega.</w:t>
      </w:r>
    </w:p>
    <w:p w14:paraId="3641833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facultada prorrogação o prazo estabelecido, a partir de solicitação fundamentada no chat pelo interessado, antes de findo o prazo.</w:t>
      </w:r>
    </w:p>
    <w:p w14:paraId="2A7B766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ou havendo entrega de amostra fora das especificações previstas, a proposta será recusada.</w:t>
      </w:r>
    </w:p>
    <w:p w14:paraId="2B73B8C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3963BB06">
      <w:pPr>
        <w:pStyle w:val="63"/>
        <w:numPr>
          <w:ilvl w:val="1"/>
          <w:numId w:val="9"/>
        </w:numPr>
        <w:spacing w:before="120" w:after="120"/>
        <w:ind w:left="0" w:firstLine="0"/>
        <w:contextualSpacing w:val="0"/>
        <w:jc w:val="both"/>
        <w:rPr>
          <w:rFonts w:asciiTheme="minorHAnsi" w:hAnsiTheme="minorHAnsi" w:cstheme="minorHAnsi"/>
          <w:sz w:val="22"/>
          <w:szCs w:val="22"/>
          <w:u w:val="single"/>
        </w:rPr>
      </w:pPr>
      <w:r>
        <w:rPr>
          <w:rFonts w:asciiTheme="minorHAnsi" w:hAnsiTheme="minorHAnsi" w:cstheme="minorHAnsi"/>
          <w:sz w:val="22"/>
          <w:szCs w:val="22"/>
          <w:u w:val="single"/>
        </w:rPr>
        <w:t xml:space="preserve">Serão avaliados os seguintes aspectos e padrões mínimos de aceitabilidade: </w:t>
      </w:r>
    </w:p>
    <w:p w14:paraId="336C558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Atender às especificações constantes deste Termo de Referência;</w:t>
      </w:r>
    </w:p>
    <w:p w14:paraId="06644B6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Estar na embalagem original dos materiais de consumo médico-hospitalar com dados de identificação completos: nome do material, data de fabricação, nº do lote, data de validade;</w:t>
      </w:r>
    </w:p>
    <w:p w14:paraId="177B8B1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Ter quantidade igual ou superior à solicitada pelo Pregoeiro;</w:t>
      </w:r>
    </w:p>
    <w:p w14:paraId="3E8F82A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28B4840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Padronização e gerência de riscos, bem como, reprovação em testes anteriores, serão recusados pela gestão do hospital;  </w:t>
      </w:r>
    </w:p>
    <w:p w14:paraId="3726EE7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Falta de Compatibilidade com o descritivo técnico solicitado neste termo de referência.  </w:t>
      </w:r>
    </w:p>
    <w:p w14:paraId="54BB426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Avaliação de conformidade das embalagens e rótulos em consonância com os critérios estabelecidos na RDC  Nº 751, de 15 de setembro de 2022/MS/ANVISA.  </w:t>
      </w:r>
    </w:p>
    <w:p w14:paraId="03246BE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6F5A697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FDB54D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exemplares colocados à disposição da Administração serão tratados como protótipos, podendo ser manuseados e desmontados pela equipe técnica responsável pela análise, não gerando direito a ressarcimento.</w:t>
      </w:r>
    </w:p>
    <w:p w14:paraId="739F998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15A97E6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CC5A02B">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Subcontratação </w:t>
      </w:r>
    </w:p>
    <w:p w14:paraId="0095FE5F">
      <w:pPr>
        <w:pStyle w:val="63"/>
        <w:numPr>
          <w:ilvl w:val="2"/>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Não será admitida a subcontratação do objeto contratual, conforme disposição contida no art. 122, §2º da lei nº 14.133, de 2021. </w:t>
      </w:r>
    </w:p>
    <w:p w14:paraId="057518A1">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Garantia da contratação</w:t>
      </w:r>
    </w:p>
    <w:p w14:paraId="74EB3D76">
      <w:pPr>
        <w:pStyle w:val="63"/>
        <w:numPr>
          <w:ilvl w:val="1"/>
          <w:numId w:val="9"/>
        </w:numPr>
        <w:spacing w:before="120" w:after="120"/>
        <w:ind w:left="0" w:firstLine="0"/>
        <w:contextualSpacing w:val="0"/>
        <w:rPr>
          <w:rFonts w:eastAsia="Times New Roman" w:asciiTheme="minorHAnsi" w:hAnsiTheme="minorHAnsi" w:cstheme="minorHAnsi"/>
          <w:color w:val="EE0000"/>
          <w:sz w:val="22"/>
          <w:szCs w:val="22"/>
        </w:rPr>
      </w:pPr>
      <w:bookmarkStart w:id="93" w:name="_Hlk190940364"/>
      <w:bookmarkStart w:id="94" w:name="_Hlk228951243"/>
      <w:r>
        <w:rPr>
          <w:rFonts w:eastAsia="Times New Roman" w:asciiTheme="minorHAnsi" w:hAnsiTheme="minorHAnsi" w:cstheme="minorHAnsi"/>
          <w:b/>
          <w:bCs/>
          <w:color w:val="EE0000"/>
          <w:sz w:val="22"/>
          <w:szCs w:val="22"/>
        </w:rPr>
        <w:t>Não haverá exigência de prestação de garantia</w:t>
      </w:r>
      <w:r>
        <w:rPr>
          <w:rFonts w:eastAsia="Times New Roman" w:asciiTheme="minorHAnsi" w:hAnsiTheme="minorHAnsi" w:cstheme="minorHAnsi"/>
          <w:color w:val="EE0000"/>
          <w:sz w:val="22"/>
          <w:szCs w:val="22"/>
        </w:rPr>
        <w:t xml:space="preserve"> para esta contratação, com fulcro no art. 96 e seguintes da Lei Federal nº 14.133/2021.</w:t>
      </w:r>
    </w:p>
    <w:p w14:paraId="18E053FB">
      <w:pPr>
        <w:pStyle w:val="63"/>
        <w:numPr>
          <w:ilvl w:val="1"/>
          <w:numId w:val="9"/>
        </w:numPr>
        <w:spacing w:before="120" w:after="120"/>
        <w:ind w:left="0" w:firstLine="0"/>
        <w:contextualSpacing w:val="0"/>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A dispensa da garantia justifica-se pela modelagem do fornecimento sob demanda por meio do </w:t>
      </w:r>
      <w:r>
        <w:rPr>
          <w:rFonts w:eastAsia="Times New Roman" w:asciiTheme="minorHAnsi" w:hAnsiTheme="minorHAnsi" w:cstheme="minorHAnsi"/>
          <w:b/>
          <w:bCs/>
          <w:color w:val="EE0000"/>
          <w:sz w:val="22"/>
          <w:szCs w:val="22"/>
        </w:rPr>
        <w:t>Sistema de Registro de Preços (SRP)</w:t>
      </w:r>
      <w:r>
        <w:rPr>
          <w:rFonts w:eastAsia="Times New Roman" w:asciiTheme="minorHAnsi" w:hAnsiTheme="minorHAnsi" w:cstheme="minorHAnsi"/>
          <w:color w:val="EE0000"/>
          <w:sz w:val="22"/>
          <w:szCs w:val="22"/>
        </w:rPr>
        <w:t xml:space="preserve">, estando as motivações técnicas e administrativas detalhadas no </w:t>
      </w:r>
      <w:r>
        <w:rPr>
          <w:rFonts w:eastAsia="Times New Roman" w:asciiTheme="minorHAnsi" w:hAnsiTheme="minorHAnsi" w:cstheme="minorHAnsi"/>
          <w:b/>
          <w:bCs/>
          <w:color w:val="EE0000"/>
          <w:sz w:val="22"/>
          <w:szCs w:val="22"/>
        </w:rPr>
        <w:t>tópico 7 do Estudo Técnico Preliminar (ETP)</w:t>
      </w:r>
      <w:r>
        <w:rPr>
          <w:rFonts w:eastAsia="Times New Roman" w:asciiTheme="minorHAnsi" w:hAnsiTheme="minorHAnsi" w:cstheme="minorHAnsi"/>
          <w:color w:val="EE0000"/>
          <w:sz w:val="22"/>
          <w:szCs w:val="22"/>
        </w:rPr>
        <w:t xml:space="preserve"> deste processo.</w:t>
      </w:r>
    </w:p>
    <w:bookmarkEnd w:id="93"/>
    <w:bookmarkEnd w:id="94"/>
    <w:p w14:paraId="4D2579B6">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5" w:name="_Hlk219197480"/>
      <w:r>
        <w:rPr>
          <w:rFonts w:asciiTheme="minorHAnsi" w:hAnsiTheme="minorHAnsi" w:cstheme="minorHAnsi"/>
          <w:b/>
          <w:bCs/>
          <w:sz w:val="22"/>
          <w:szCs w:val="22"/>
          <w:u w:val="single"/>
        </w:rPr>
        <w:t>Reserva de cotas para microempresas e empresas de pequeno porte</w:t>
      </w:r>
    </w:p>
    <w:p w14:paraId="4F550327">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Na presente licitação não será realizada a reserva cota de 25% (vinte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EE0000"/>
          <w:sz w:val="22"/>
          <w:szCs w:val="22"/>
        </w:rPr>
        <w:t>do Estudo Técnico preliminar, parte integrante deste termo.</w:t>
      </w:r>
    </w:p>
    <w:p w14:paraId="6D47BEE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A33CBD4">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Por determinação do Hospital Ana Nery, documento anexo aos autos e conforme tópico, não será aplicado o critério de exclusividade, em atendimento ao Art. 49, III da Lei Complementar nº 123, de 2006, in verbis:</w:t>
      </w:r>
    </w:p>
    <w:p w14:paraId="46E963DF">
      <w:pPr>
        <w:pStyle w:val="63"/>
        <w:widowControl w:val="0"/>
        <w:spacing w:before="120" w:after="120"/>
        <w:ind w:left="2268" w:right="-1"/>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Fonts w:asciiTheme="minorHAnsi" w:hAnsiTheme="minorHAnsi" w:cstheme="minorHAnsi"/>
          <w:color w:val="EE0000"/>
          <w:sz w:val="22"/>
          <w:szCs w:val="22"/>
        </w:rPr>
        <w:t>arts. 47 e 48 desta Lei Complementar</w:t>
      </w:r>
      <w:r>
        <w:rPr>
          <w:rFonts w:asciiTheme="minorHAnsi" w:hAnsiTheme="minorHAnsi" w:cstheme="minorHAnsi"/>
          <w:color w:val="EE0000"/>
          <w:sz w:val="22"/>
          <w:szCs w:val="22"/>
        </w:rPr>
        <w:fldChar w:fldCharType="end"/>
      </w:r>
      <w:r>
        <w:rPr>
          <w:rFonts w:asciiTheme="minorHAnsi" w:hAnsiTheme="minorHAnsi" w:cstheme="minorHAnsi"/>
          <w:color w:val="EE0000"/>
          <w:sz w:val="22"/>
          <w:szCs w:val="22"/>
        </w:rPr>
        <w:t> quando:</w:t>
      </w:r>
    </w:p>
    <w:p w14:paraId="1782139A">
      <w:pPr>
        <w:pStyle w:val="63"/>
        <w:widowControl w:val="0"/>
        <w:spacing w:before="120" w:after="120"/>
        <w:ind w:left="2268" w:right="-1"/>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13739837">
      <w:pPr>
        <w:pStyle w:val="63"/>
        <w:widowControl w:val="0"/>
        <w:spacing w:before="120" w:after="120"/>
        <w:ind w:left="2268" w:right="-1"/>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III - o tratamento diferenciado e simplificado para as microempresas e empresas de pequeno porte não for vantajoso para a administração pública ou representar prejuízo ao conjunto ou complexo do objeto a ser contratado”.</w:t>
      </w:r>
    </w:p>
    <w:bookmarkEnd w:id="95"/>
    <w:p w14:paraId="336866C0">
      <w:pPr>
        <w:pStyle w:val="63"/>
        <w:numPr>
          <w:ilvl w:val="0"/>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22BE924D">
      <w:pPr>
        <w:pStyle w:val="63"/>
        <w:numPr>
          <w:ilvl w:val="0"/>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260481F5">
      <w:pPr>
        <w:pStyle w:val="63"/>
        <w:numPr>
          <w:ilvl w:val="0"/>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1E7467C7">
      <w:pPr>
        <w:pStyle w:val="63"/>
        <w:numPr>
          <w:ilvl w:val="0"/>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491C34EB">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6ED9F243">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3958ECDB">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7805A74B">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5CB43B6F">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36ADB19A">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2001F29C">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617DECC8">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4C40D63E">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553AD13E">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656DF8E5">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15B9144C">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3CF67652">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31346217">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7A349479">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69B90260">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53BDF9C2">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1C26ECEF">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3D4AE709">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78430572">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7F0C31B4">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3B650059">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27BD9FBE">
      <w:pPr>
        <w:pStyle w:val="63"/>
        <w:numPr>
          <w:ilvl w:val="1"/>
          <w:numId w:val="11"/>
        </w:numPr>
        <w:spacing w:before="120" w:after="120"/>
        <w:contextualSpacing w:val="0"/>
        <w:jc w:val="both"/>
        <w:outlineLvl w:val="2"/>
        <w:rPr>
          <w:rFonts w:eastAsia="Times New Roman" w:asciiTheme="minorHAnsi" w:hAnsiTheme="minorHAnsi" w:cstheme="minorHAnsi"/>
          <w:b/>
          <w:bCs/>
          <w:vanish/>
          <w:sz w:val="22"/>
          <w:szCs w:val="22"/>
          <w:u w:val="single"/>
        </w:rPr>
      </w:pPr>
    </w:p>
    <w:p w14:paraId="0376243C">
      <w:pPr>
        <w:pStyle w:val="63"/>
        <w:numPr>
          <w:ilvl w:val="1"/>
          <w:numId w:val="11"/>
        </w:numPr>
        <w:spacing w:before="120" w:after="120"/>
        <w:ind w:left="432"/>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Da não aplicação do critério de exclusividade para ME/EPP</w:t>
      </w:r>
    </w:p>
    <w:p w14:paraId="096AAC15">
      <w:pPr>
        <w:pStyle w:val="63"/>
        <w:numPr>
          <w:ilvl w:val="1"/>
          <w:numId w:val="11"/>
        </w:numPr>
        <w:spacing w:before="120" w:after="120"/>
        <w:ind w:left="432"/>
        <w:contextualSpacing w:val="0"/>
        <w:jc w:val="both"/>
        <w:outlineLvl w:val="2"/>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Do Risco de Desabastecimento na Alta Complexidade Cardiovascular</w:t>
      </w:r>
    </w:p>
    <w:p w14:paraId="20D324BF">
      <w:pPr>
        <w:numPr>
          <w:ilvl w:val="2"/>
          <w:numId w:val="11"/>
        </w:numPr>
        <w:spacing w:before="120" w:after="120" w:line="240" w:lineRule="auto"/>
        <w:ind w:left="0" w:firstLine="0"/>
        <w:jc w:val="both"/>
        <w:rPr>
          <w:rFonts w:eastAsia="Times New Roman" w:cstheme="minorHAnsi"/>
          <w:color w:val="EE0000"/>
          <w:lang w:eastAsia="pt-BR"/>
        </w:rPr>
      </w:pPr>
      <w:r>
        <w:rPr>
          <w:rFonts w:eastAsia="Times New Roman" w:cstheme="minorHAnsi"/>
          <w:color w:val="EE0000"/>
          <w:lang w:eastAsia="pt-BR"/>
        </w:rPr>
        <w:t xml:space="preserve">A aplicação do critério de exclusividade para ME/EPP no presente certame representa risco iminente de prejuízo à assistência à saúde de alta complexidade. Os materiais destinados a </w:t>
      </w:r>
      <w:r>
        <w:rPr>
          <w:rFonts w:eastAsia="Times New Roman" w:cstheme="minorHAnsi"/>
          <w:b/>
          <w:bCs/>
          <w:color w:val="EE0000"/>
          <w:lang w:eastAsia="pt-BR"/>
        </w:rPr>
        <w:t>procedimentos cárdio hemodinâmicos e cirurgias cardíacas</w:t>
      </w:r>
      <w:r>
        <w:rPr>
          <w:rFonts w:eastAsia="Times New Roman" w:cstheme="minorHAnsi"/>
          <w:color w:val="EE0000"/>
          <w:lang w:eastAsia="pt-BR"/>
        </w:rPr>
        <w:t xml:space="preserve"> possuem alta especificidade técnica e exigem cadeias de suprimentos globais e consolidadas.</w:t>
      </w:r>
    </w:p>
    <w:p w14:paraId="75FF7EB6">
      <w:pPr>
        <w:numPr>
          <w:ilvl w:val="2"/>
          <w:numId w:val="11"/>
        </w:numPr>
        <w:spacing w:before="120" w:after="120" w:line="240" w:lineRule="auto"/>
        <w:ind w:left="0" w:firstLine="0"/>
        <w:jc w:val="both"/>
        <w:rPr>
          <w:rFonts w:eastAsia="Times New Roman" w:cstheme="minorHAnsi"/>
          <w:color w:val="EE0000"/>
          <w:lang w:eastAsia="pt-BR"/>
        </w:rPr>
      </w:pPr>
      <w:r>
        <w:rPr>
          <w:rFonts w:eastAsia="Times New Roman" w:cstheme="minorHAnsi"/>
          <w:color w:val="EE0000"/>
          <w:lang w:eastAsia="pt-BR"/>
        </w:rPr>
        <w:t xml:space="preserve">A potencial ausência de fornecedores de grande porte com capacidade logística, regularidade sanitária internacional e robustez produtiva compatível com a demanda do </w:t>
      </w:r>
      <w:r>
        <w:rPr>
          <w:rFonts w:eastAsia="Times New Roman" w:cstheme="minorHAnsi"/>
          <w:b/>
          <w:bCs/>
          <w:color w:val="EE0000"/>
          <w:lang w:eastAsia="pt-BR"/>
        </w:rPr>
        <w:t>Hospital Ana Nery</w:t>
      </w:r>
      <w:r>
        <w:rPr>
          <w:rFonts w:eastAsia="Times New Roman" w:cstheme="minorHAnsi"/>
          <w:color w:val="EE0000"/>
          <w:lang w:eastAsia="pt-BR"/>
        </w:rPr>
        <w:t xml:space="preserve"> ensejaria o fracasso da licitação (itens desertos ou fracassados). O desabastecimento de insumos críticos — como cateteres, stents, oxigenadores e linhas de circulação extracorpórea — acarretaria a </w:t>
      </w:r>
      <w:r>
        <w:rPr>
          <w:rFonts w:eastAsia="Times New Roman" w:cstheme="minorHAnsi"/>
          <w:b/>
          <w:bCs/>
          <w:color w:val="EE0000"/>
          <w:lang w:eastAsia="pt-BR"/>
        </w:rPr>
        <w:t>suspensão de cirurgias cardíacas e procedimentos intervencionistas de urgência</w:t>
      </w:r>
      <w:r>
        <w:rPr>
          <w:rFonts w:eastAsia="Times New Roman" w:cstheme="minorHAnsi"/>
          <w:color w:val="EE0000"/>
          <w:lang w:eastAsia="pt-BR"/>
        </w:rPr>
        <w:t>, gerando risco de morte ou agravamento irreversível aos pacientes cardiopatas.</w:t>
      </w:r>
    </w:p>
    <w:p w14:paraId="3901D413">
      <w:pPr>
        <w:pStyle w:val="63"/>
        <w:numPr>
          <w:ilvl w:val="1"/>
          <w:numId w:val="11"/>
        </w:numPr>
        <w:spacing w:before="120" w:after="120"/>
        <w:ind w:left="0" w:firstLine="0"/>
        <w:contextualSpacing w:val="0"/>
        <w:jc w:val="both"/>
        <w:outlineLvl w:val="2"/>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Do Respaldo Legal à Exclusividade (Regra Geral)</w:t>
      </w:r>
    </w:p>
    <w:p w14:paraId="1AE49130">
      <w:pPr>
        <w:pStyle w:val="63"/>
        <w:numPr>
          <w:ilvl w:val="2"/>
          <w:numId w:val="11"/>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Ressalte-se que a reserva de mercado para ME/EPP fundamenta-se no Art. 48, inciso I, da Lei Complementar nº 123/2006 e no Art. 6º do Decreto nº 8.538/2015, que estabelecem a obrigatoriedade de licitações exclusivas para itens cujo valor seja de até R$ 80.000,00 (oitenta mil reais).</w:t>
      </w:r>
    </w:p>
    <w:p w14:paraId="65507E39">
      <w:pPr>
        <w:pStyle w:val="63"/>
        <w:numPr>
          <w:ilvl w:val="1"/>
          <w:numId w:val="11"/>
        </w:numPr>
        <w:spacing w:before="120" w:after="120"/>
        <w:ind w:left="0" w:firstLine="0"/>
        <w:contextualSpacing w:val="0"/>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Das Exceções Legais: Princípio da Vantajosidade e do Interesse Público</w:t>
      </w:r>
    </w:p>
    <w:p w14:paraId="367EA799">
      <w:pPr>
        <w:pStyle w:val="63"/>
        <w:numPr>
          <w:ilvl w:val="2"/>
          <w:numId w:val="11"/>
        </w:numPr>
        <w:tabs>
          <w:tab w:val="left" w:pos="709"/>
          <w:tab w:val="left" w:pos="993"/>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O dever de exclusividade, contudo, não possui caráter absoluto. O Art. 49, inciso III, da LC nº 123/2006 e o Art. 10, inciso II, do Decreto nº 8.538/2015 desobrigam a Administração de aplicar o tratamento diferenciado quando este não se mostrar vantajoso para o interesse público ou representar prejuízo ao conjunto do objeto.</w:t>
      </w:r>
    </w:p>
    <w:p w14:paraId="5071FB2E">
      <w:pPr>
        <w:pStyle w:val="63"/>
        <w:numPr>
          <w:ilvl w:val="2"/>
          <w:numId w:val="11"/>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No caso em tela, a prioridade máxima reside na </w:t>
      </w:r>
      <w:r>
        <w:rPr>
          <w:rFonts w:eastAsia="Times New Roman" w:asciiTheme="minorHAnsi" w:hAnsiTheme="minorHAnsi" w:cstheme="minorHAnsi"/>
          <w:b/>
          <w:bCs/>
          <w:color w:val="EE0000"/>
          <w:sz w:val="22"/>
          <w:szCs w:val="22"/>
        </w:rPr>
        <w:t>segurança do paciente cirúrgico</w:t>
      </w:r>
      <w:r>
        <w:rPr>
          <w:rFonts w:eastAsia="Times New Roman" w:asciiTheme="minorHAnsi" w:hAnsiTheme="minorHAnsi" w:cstheme="minorHAnsi"/>
          <w:color w:val="EE0000"/>
          <w:sz w:val="22"/>
          <w:szCs w:val="22"/>
        </w:rPr>
        <w:t>, na garantia ininterrupta do suprimento e na mitigação de riscos operacionais na linha do cuidado cardiovascular.</w:t>
      </w:r>
    </w:p>
    <w:p w14:paraId="649AD886">
      <w:pPr>
        <w:pStyle w:val="63"/>
        <w:numPr>
          <w:ilvl w:val="1"/>
          <w:numId w:val="11"/>
        </w:numPr>
        <w:spacing w:before="120" w:after="120"/>
        <w:ind w:left="0" w:firstLine="0"/>
        <w:contextualSpacing w:val="0"/>
        <w:jc w:val="both"/>
        <w:outlineLvl w:val="2"/>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Da Ponderação de Princípios e a Lei nº 14.133/2021</w:t>
      </w:r>
    </w:p>
    <w:p w14:paraId="1BE0BE9A">
      <w:pPr>
        <w:pStyle w:val="63"/>
        <w:numPr>
          <w:ilvl w:val="2"/>
          <w:numId w:val="11"/>
        </w:numPr>
        <w:tabs>
          <w:tab w:val="left" w:pos="567"/>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Em estrita observância ao Art. 5º da Lei nº 14.133/2021, a Administração deve sopesar os princípios da competitividade, economicidade e eficácia. Embora o fomento às ME/EPP seja um objetivo legal, este não deve se sobrepor ao dever de selecionar a proposta mais vantajosa e garantir a execução contratual segura.</w:t>
      </w:r>
    </w:p>
    <w:p w14:paraId="1410B37E">
      <w:pPr>
        <w:pStyle w:val="63"/>
        <w:numPr>
          <w:ilvl w:val="2"/>
          <w:numId w:val="11"/>
        </w:numPr>
        <w:tabs>
          <w:tab w:val="left" w:pos="720"/>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Evita-se, assim, a fragilização do bloco cirúrgico e da hemodinâmica por eventual </w:t>
      </w:r>
      <w:r>
        <w:rPr>
          <w:rFonts w:eastAsia="Times New Roman" w:asciiTheme="minorHAnsi" w:hAnsiTheme="minorHAnsi" w:cstheme="minorHAnsi"/>
          <w:b/>
          <w:bCs/>
          <w:color w:val="EE0000"/>
          <w:sz w:val="22"/>
          <w:szCs w:val="22"/>
        </w:rPr>
        <w:t>hipossuficiência técnica, comercial ou econômica do fornecedor</w:t>
      </w:r>
      <w:r>
        <w:rPr>
          <w:rFonts w:eastAsia="Times New Roman" w:asciiTheme="minorHAnsi" w:hAnsiTheme="minorHAnsi" w:cstheme="minorHAnsi"/>
          <w:color w:val="EE0000"/>
          <w:sz w:val="22"/>
          <w:szCs w:val="22"/>
        </w:rPr>
        <w:t xml:space="preserve"> em honrar a entrega de materiais de alta tecnologia.</w:t>
      </w:r>
    </w:p>
    <w:p w14:paraId="1BDA506D">
      <w:pPr>
        <w:pStyle w:val="63"/>
        <w:numPr>
          <w:ilvl w:val="1"/>
          <w:numId w:val="11"/>
        </w:numPr>
        <w:spacing w:before="120" w:after="120"/>
        <w:ind w:left="0" w:firstLine="0"/>
        <w:contextualSpacing w:val="0"/>
        <w:jc w:val="both"/>
        <w:outlineLvl w:val="2"/>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Da Especificidade do Mercado e Capacidade Logística</w:t>
      </w:r>
    </w:p>
    <w:p w14:paraId="2D7C94FA">
      <w:pPr>
        <w:pStyle w:val="63"/>
        <w:numPr>
          <w:ilvl w:val="2"/>
          <w:numId w:val="11"/>
        </w:numPr>
        <w:tabs>
          <w:tab w:val="left" w:pos="709"/>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O mercado de produtos para saúde (correlatos e OPMEs) na área de cardiologia intervencionista é dominado por grandes importadores e fabricantes detentores exclusivos de registros na ANVISA. A abertura do certame à ampla concorrência é medida imperativa para assegurar o binômio preço-qualidade, o cumprimento de exigências sanitárias rigorosas e o atendimento integral do cronograma de entregas fracionadas do Hospital Ana Nery.</w:t>
      </w:r>
    </w:p>
    <w:p w14:paraId="144D504B">
      <w:pPr>
        <w:pStyle w:val="63"/>
        <w:numPr>
          <w:ilvl w:val="1"/>
          <w:numId w:val="11"/>
        </w:numPr>
        <w:spacing w:before="120" w:after="120"/>
        <w:ind w:left="0" w:firstLine="0"/>
        <w:contextualSpacing w:val="0"/>
        <w:jc w:val="both"/>
        <w:outlineLvl w:val="2"/>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Da Eficiência Processual e Racionalização de Custos</w:t>
      </w:r>
    </w:p>
    <w:p w14:paraId="26F9A041">
      <w:pPr>
        <w:pStyle w:val="63"/>
        <w:numPr>
          <w:ilvl w:val="2"/>
          <w:numId w:val="11"/>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A não aplicação da exclusividade visa, por fim, evitar o custo administrativo e assistencial de eventuais reaberturas de certames. A repetição de processos licitatórios gera gastos extraordinários e, criticamente, protela a contratualização de itens vitais para o suporte à vida, configurando ineficiência e desperdício de recursos públicos.</w:t>
      </w:r>
    </w:p>
    <w:p w14:paraId="01FC70B5">
      <w:pPr>
        <w:pStyle w:val="63"/>
        <w:numPr>
          <w:ilvl w:val="1"/>
          <w:numId w:val="11"/>
        </w:numPr>
        <w:spacing w:before="120" w:after="120"/>
        <w:ind w:left="0" w:firstLine="0"/>
        <w:contextualSpacing w:val="0"/>
        <w:jc w:val="both"/>
        <w:outlineLvl w:val="2"/>
        <w:rPr>
          <w:rFonts w:eastAsia="Times New Roman" w:asciiTheme="minorHAnsi" w:hAnsiTheme="minorHAnsi" w:cstheme="minorHAnsi"/>
          <w:b/>
          <w:bCs/>
          <w:color w:val="EE0000"/>
          <w:sz w:val="22"/>
          <w:szCs w:val="22"/>
        </w:rPr>
      </w:pPr>
      <w:r>
        <w:rPr>
          <w:rFonts w:eastAsia="Times New Roman" w:asciiTheme="minorHAnsi" w:hAnsiTheme="minorHAnsi" w:cstheme="minorHAnsi"/>
          <w:b/>
          <w:bCs/>
          <w:color w:val="EE0000"/>
          <w:sz w:val="22"/>
          <w:szCs w:val="22"/>
        </w:rPr>
        <w:t>Conclusão Quanto ao Critério de Participação</w:t>
      </w:r>
    </w:p>
    <w:p w14:paraId="063B00E3">
      <w:pPr>
        <w:pStyle w:val="63"/>
        <w:numPr>
          <w:ilvl w:val="2"/>
          <w:numId w:val="11"/>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Ante o exposto, fundamentando-se no Art. 49, inciso III, da Lei Complementar nº 123/2006 e no Art. 10, inciso II, do Decreto nº 8.538/2015, a Administração conclui pela </w:t>
      </w:r>
      <w:r>
        <w:rPr>
          <w:rFonts w:eastAsia="Times New Roman" w:asciiTheme="minorHAnsi" w:hAnsiTheme="minorHAnsi" w:cstheme="minorHAnsi"/>
          <w:b/>
          <w:bCs/>
          <w:color w:val="EE0000"/>
          <w:sz w:val="22"/>
          <w:szCs w:val="22"/>
        </w:rPr>
        <w:t>não aplicação da exclusividade de participação para ME/EPP, bem como pela não reserva de cotas</w:t>
      </w:r>
      <w:r>
        <w:rPr>
          <w:rFonts w:eastAsia="Times New Roman" w:asciiTheme="minorHAnsi" w:hAnsiTheme="minorHAnsi" w:cstheme="minorHAnsi"/>
          <w:color w:val="EE0000"/>
          <w:sz w:val="22"/>
          <w:szCs w:val="22"/>
        </w:rPr>
        <w:t>, para os itens que compõem este certame.</w:t>
      </w:r>
    </w:p>
    <w:p w14:paraId="4F94BAFD">
      <w:pPr>
        <w:pStyle w:val="63"/>
        <w:numPr>
          <w:ilvl w:val="1"/>
          <w:numId w:val="11"/>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Tal decisão configura medida excepcional e necessária, pautada no princípio da proporcionalidade e na supremacia do interesse público. A abertura à ampla concorrência assegura que o Hospital Ana Nery obtenha propostas de empresas que conciliem viabilidade econômica, estrita capacidade técnica e segurança logística, salvaguardando a continuidade dos procedimentos cirúrgicos cardíacos e hemodinâmicos.</w:t>
      </w:r>
    </w:p>
    <w:p w14:paraId="674A3139">
      <w:pPr>
        <w:pStyle w:val="63"/>
        <w:numPr>
          <w:ilvl w:val="0"/>
          <w:numId w:val="11"/>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MODELO DE EXECUÇÃO DO OBJETO</w:t>
      </w:r>
    </w:p>
    <w:p w14:paraId="0C4ADB29">
      <w:pPr>
        <w:pStyle w:val="63"/>
        <w:numPr>
          <w:ilvl w:val="1"/>
          <w:numId w:val="11"/>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Condições de Entrega</w:t>
      </w:r>
    </w:p>
    <w:p w14:paraId="3C3315D0">
      <w:pPr>
        <w:pStyle w:val="63"/>
        <w:numPr>
          <w:ilvl w:val="2"/>
          <w:numId w:val="11"/>
        </w:numPr>
        <w:ind w:left="0" w:firstLine="0"/>
        <w:rPr>
          <w:rFonts w:asciiTheme="minorHAnsi" w:hAnsiTheme="minorHAnsi" w:cstheme="minorHAnsi"/>
          <w:sz w:val="22"/>
          <w:szCs w:val="22"/>
        </w:rPr>
      </w:pPr>
      <w:r>
        <w:rPr>
          <w:rFonts w:asciiTheme="minorHAnsi" w:hAnsiTheme="minorHAnsi" w:cstheme="minorHAnsi"/>
          <w:sz w:val="22"/>
          <w:szCs w:val="22"/>
        </w:rPr>
        <w:t>A entrega dos bens de consumo médico-hospitalar deverá ser realizada, no endereço constante na tabela abaixo, das 08h00 às 16h00 nos dias úteis.</w:t>
      </w:r>
    </w:p>
    <w:p w14:paraId="09BAE006">
      <w:pPr>
        <w:pStyle w:val="63"/>
        <w:ind w:left="360"/>
        <w:jc w:val="both"/>
        <w:rPr>
          <w:rFonts w:asciiTheme="minorHAnsi" w:hAnsiTheme="minorHAnsi" w:cstheme="minorHAnsi"/>
          <w:sz w:val="22"/>
          <w:szCs w:val="22"/>
        </w:rPr>
      </w:pPr>
    </w:p>
    <w:tbl>
      <w:tblPr>
        <w:tblStyle w:val="37"/>
        <w:tblW w:w="90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5"/>
        <w:gridCol w:w="6237"/>
      </w:tblGrid>
      <w:tr w14:paraId="45ACD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835" w:type="dxa"/>
          </w:tcPr>
          <w:p w14:paraId="246DDBDF">
            <w:pPr>
              <w:spacing w:after="0" w:line="240" w:lineRule="auto"/>
              <w:rPr>
                <w:rFonts w:eastAsia="Calibri" w:asciiTheme="minorHAnsi" w:hAnsiTheme="minorHAnsi" w:cstheme="minorHAnsi"/>
                <w:b/>
                <w:bCs/>
                <w:sz w:val="22"/>
                <w:szCs w:val="22"/>
              </w:rPr>
            </w:pPr>
            <w:r>
              <w:rPr>
                <w:rFonts w:eastAsia="Calibri" w:asciiTheme="minorHAnsi" w:hAnsiTheme="minorHAnsi" w:cstheme="minorHAnsi"/>
                <w:b/>
                <w:bCs/>
                <w:sz w:val="22"/>
                <w:szCs w:val="22"/>
              </w:rPr>
              <w:t>Hospital Ana Nery</w:t>
            </w:r>
          </w:p>
        </w:tc>
        <w:tc>
          <w:tcPr>
            <w:tcW w:w="6237" w:type="dxa"/>
          </w:tcPr>
          <w:p w14:paraId="441B2F13">
            <w:pPr>
              <w:spacing w:after="0" w:line="240" w:lineRule="auto"/>
              <w:jc w:val="both"/>
              <w:rPr>
                <w:rFonts w:eastAsia="Calibri" w:asciiTheme="minorHAnsi" w:hAnsiTheme="minorHAnsi" w:cstheme="minorHAnsi"/>
                <w:sz w:val="22"/>
                <w:szCs w:val="22"/>
              </w:rPr>
            </w:pPr>
            <w:r>
              <w:rPr>
                <w:rFonts w:eastAsia="Calibri" w:asciiTheme="minorHAnsi" w:hAnsiTheme="minorHAnsi" w:cstheme="minorHAnsi"/>
                <w:b/>
                <w:bCs/>
                <w:color w:val="0070C0"/>
                <w:sz w:val="22"/>
                <w:szCs w:val="22"/>
              </w:rPr>
              <w:t>OPME HAN</w:t>
            </w:r>
            <w:r>
              <w:rPr>
                <w:rFonts w:eastAsia="Calibri" w:asciiTheme="minorHAnsi" w:hAnsiTheme="minorHAnsi" w:cstheme="minorHAnsi"/>
                <w:color w:val="0070C0"/>
                <w:sz w:val="22"/>
                <w:szCs w:val="22"/>
              </w:rPr>
              <w:t>,</w:t>
            </w:r>
            <w:r>
              <w:rPr>
                <w:rFonts w:eastAsia="Calibri" w:asciiTheme="minorHAnsi" w:hAnsiTheme="minorHAnsi" w:cstheme="minorHAnsi"/>
                <w:sz w:val="22"/>
                <w:szCs w:val="22"/>
              </w:rPr>
              <w:t xml:space="preserve"> sito à Rua Saldanha Marinho, s/n, Caixa D’ Água, Salvador. CEP 40.323-010.</w:t>
            </w:r>
          </w:p>
        </w:tc>
      </w:tr>
    </w:tbl>
    <w:p w14:paraId="008CFDC0">
      <w:pPr>
        <w:pStyle w:val="63"/>
        <w:ind w:left="360"/>
        <w:jc w:val="both"/>
        <w:rPr>
          <w:rFonts w:asciiTheme="minorHAnsi" w:hAnsiTheme="minorHAnsi" w:cstheme="minorHAnsi"/>
          <w:sz w:val="22"/>
          <w:szCs w:val="22"/>
        </w:rPr>
      </w:pPr>
    </w:p>
    <w:p w14:paraId="06AC3667">
      <w:pPr>
        <w:pStyle w:val="63"/>
        <w:numPr>
          <w:ilvl w:val="0"/>
          <w:numId w:val="12"/>
        </w:numPr>
        <w:spacing w:before="120" w:after="120"/>
        <w:jc w:val="both"/>
        <w:rPr>
          <w:rFonts w:asciiTheme="minorHAnsi" w:hAnsiTheme="minorHAnsi" w:cstheme="minorHAnsi"/>
          <w:vanish/>
          <w:sz w:val="22"/>
          <w:szCs w:val="22"/>
        </w:rPr>
      </w:pPr>
      <w:bookmarkStart w:id="96" w:name="_Hlk216937295"/>
    </w:p>
    <w:p w14:paraId="1C7E5BD5">
      <w:pPr>
        <w:pStyle w:val="63"/>
        <w:numPr>
          <w:ilvl w:val="0"/>
          <w:numId w:val="12"/>
        </w:numPr>
        <w:spacing w:before="120" w:after="120"/>
        <w:jc w:val="both"/>
        <w:rPr>
          <w:rFonts w:asciiTheme="minorHAnsi" w:hAnsiTheme="minorHAnsi" w:cstheme="minorHAnsi"/>
          <w:vanish/>
          <w:sz w:val="22"/>
          <w:szCs w:val="22"/>
        </w:rPr>
      </w:pPr>
    </w:p>
    <w:p w14:paraId="41AC32FC">
      <w:pPr>
        <w:pStyle w:val="63"/>
        <w:numPr>
          <w:ilvl w:val="0"/>
          <w:numId w:val="12"/>
        </w:numPr>
        <w:spacing w:before="120" w:after="120"/>
        <w:jc w:val="both"/>
        <w:rPr>
          <w:rFonts w:asciiTheme="minorHAnsi" w:hAnsiTheme="minorHAnsi" w:cstheme="minorHAnsi"/>
          <w:vanish/>
          <w:sz w:val="22"/>
          <w:szCs w:val="22"/>
        </w:rPr>
      </w:pPr>
    </w:p>
    <w:p w14:paraId="3E90E0B2">
      <w:pPr>
        <w:pStyle w:val="63"/>
        <w:numPr>
          <w:ilvl w:val="0"/>
          <w:numId w:val="12"/>
        </w:numPr>
        <w:spacing w:before="120" w:after="120"/>
        <w:jc w:val="both"/>
        <w:rPr>
          <w:rFonts w:asciiTheme="minorHAnsi" w:hAnsiTheme="minorHAnsi" w:cstheme="minorHAnsi"/>
          <w:vanish/>
          <w:sz w:val="22"/>
          <w:szCs w:val="22"/>
        </w:rPr>
      </w:pPr>
    </w:p>
    <w:p w14:paraId="0153EBCC">
      <w:pPr>
        <w:pStyle w:val="63"/>
        <w:numPr>
          <w:ilvl w:val="0"/>
          <w:numId w:val="12"/>
        </w:numPr>
        <w:spacing w:before="120" w:after="120"/>
        <w:jc w:val="both"/>
        <w:rPr>
          <w:rFonts w:asciiTheme="minorHAnsi" w:hAnsiTheme="minorHAnsi" w:cstheme="minorHAnsi"/>
          <w:vanish/>
          <w:sz w:val="22"/>
          <w:szCs w:val="22"/>
        </w:rPr>
      </w:pPr>
    </w:p>
    <w:p w14:paraId="3E826AC6">
      <w:pPr>
        <w:pStyle w:val="63"/>
        <w:numPr>
          <w:ilvl w:val="1"/>
          <w:numId w:val="12"/>
        </w:numPr>
        <w:spacing w:before="120" w:after="120"/>
        <w:jc w:val="both"/>
        <w:rPr>
          <w:rFonts w:asciiTheme="minorHAnsi" w:hAnsiTheme="minorHAnsi" w:cstheme="minorHAnsi"/>
          <w:vanish/>
          <w:sz w:val="22"/>
          <w:szCs w:val="22"/>
        </w:rPr>
      </w:pPr>
    </w:p>
    <w:p w14:paraId="05F2B82E">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b/>
          <w:bCs/>
          <w:color w:val="EE0000"/>
          <w:sz w:val="22"/>
          <w:szCs w:val="22"/>
        </w:rPr>
        <w:t>DA FORMA DE FORNECIMENTO E ENTREGA</w:t>
      </w:r>
    </w:p>
    <w:p w14:paraId="20EDE728">
      <w:pPr>
        <w:pStyle w:val="63"/>
        <w:numPr>
          <w:ilvl w:val="2"/>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objeto desta licitação será fornecido de forma parcelada</w:t>
      </w:r>
      <w:r>
        <w:rPr>
          <w:rFonts w:asciiTheme="minorHAnsi" w:hAnsiTheme="minorHAnsi" w:cstheme="minorHAnsi"/>
          <w:b/>
          <w:bCs/>
          <w:color w:val="EE0000"/>
          <w:sz w:val="22"/>
          <w:szCs w:val="22"/>
        </w:rPr>
        <w:t xml:space="preserve"> (sob demanda)</w:t>
      </w:r>
      <w:r>
        <w:rPr>
          <w:rFonts w:asciiTheme="minorHAnsi" w:hAnsiTheme="minorHAnsi" w:cstheme="minorHAnsi"/>
          <w:color w:val="EE0000"/>
          <w:sz w:val="22"/>
          <w:szCs w:val="22"/>
        </w:rPr>
        <w:t>, de acordo com as necessidades assistenciais do Hospital Ana Nery, mediante a emissão prévia de Nota de Empenho, durante o prazo de vigência da Ata de Registro de Preços.</w:t>
      </w:r>
    </w:p>
    <w:p w14:paraId="5AA72981">
      <w:pPr>
        <w:pStyle w:val="63"/>
        <w:numPr>
          <w:ilvl w:val="2"/>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Para cada solicitação individualizada (Nota de Empenho), emitida, a contratada deverá realizar a entrega dos materiais de forma </w:t>
      </w:r>
      <w:r>
        <w:rPr>
          <w:rFonts w:asciiTheme="minorHAnsi" w:hAnsiTheme="minorHAnsi" w:cstheme="minorHAnsi"/>
          <w:b/>
          <w:bCs/>
          <w:color w:val="EE0000"/>
          <w:sz w:val="22"/>
          <w:szCs w:val="22"/>
        </w:rPr>
        <w:t>integral e única</w:t>
      </w:r>
      <w:r>
        <w:rPr>
          <w:rFonts w:asciiTheme="minorHAnsi" w:hAnsiTheme="minorHAnsi" w:cstheme="minorHAnsi"/>
          <w:color w:val="EE0000"/>
          <w:sz w:val="22"/>
          <w:szCs w:val="22"/>
        </w:rPr>
        <w:t>.</w:t>
      </w:r>
    </w:p>
    <w:p w14:paraId="7CC48F39">
      <w:pPr>
        <w:pStyle w:val="63"/>
        <w:numPr>
          <w:ilvl w:val="2"/>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Fica expressamente </w:t>
      </w:r>
      <w:r>
        <w:rPr>
          <w:rFonts w:asciiTheme="minorHAnsi" w:hAnsiTheme="minorHAnsi" w:cstheme="minorHAnsi"/>
          <w:b/>
          <w:bCs/>
          <w:color w:val="EE0000"/>
          <w:sz w:val="22"/>
          <w:szCs w:val="22"/>
        </w:rPr>
        <w:t>vedada a entrega parcial</w:t>
      </w:r>
      <w:r>
        <w:rPr>
          <w:rFonts w:asciiTheme="minorHAnsi" w:hAnsiTheme="minorHAnsi" w:cstheme="minorHAnsi"/>
          <w:color w:val="EE0000"/>
          <w:sz w:val="22"/>
          <w:szCs w:val="22"/>
        </w:rPr>
        <w:t xml:space="preserve"> ou o fracionamento do quantitativo requisitado em uma mesma Nota de Empenho, salvo por expressa e prévia autorização da Administração, devidamente justificada por interesse público.</w:t>
      </w:r>
    </w:p>
    <w:p w14:paraId="7374AAC2">
      <w:pPr>
        <w:pStyle w:val="63"/>
        <w:numPr>
          <w:ilvl w:val="2"/>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O prazo máximo para a entrega integral dos materiais será de até </w:t>
      </w:r>
      <w:r>
        <w:rPr>
          <w:rFonts w:asciiTheme="minorHAnsi" w:hAnsiTheme="minorHAnsi" w:cstheme="minorHAnsi"/>
          <w:b/>
          <w:bCs/>
          <w:color w:val="EE0000"/>
          <w:sz w:val="22"/>
          <w:szCs w:val="22"/>
        </w:rPr>
        <w:t>15 (quinze) dias corridos</w:t>
      </w:r>
      <w:r>
        <w:rPr>
          <w:rFonts w:asciiTheme="minorHAnsi" w:hAnsiTheme="minorHAnsi" w:cstheme="minorHAnsi"/>
          <w:color w:val="EE0000"/>
          <w:sz w:val="22"/>
          <w:szCs w:val="22"/>
        </w:rPr>
        <w:t>, contados a partir do recebimento, por parte da contratada, da respectiva  Nota de Empenho.</w:t>
      </w:r>
    </w:p>
    <w:p w14:paraId="35F10EAB">
      <w:pPr>
        <w:pStyle w:val="63"/>
        <w:numPr>
          <w:ilvl w:val="2"/>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prazo fixado no item anterior visa garantir a recomposição imediata dos estoques do Hospital Ana Nery e mitigar riscos assistenciais à saúde dos pacientes. O não cumprimento do prazo ou a tentativa de entrega fracionada sujeitará a contratada às sanções administrativas previstas neste instrumento e na legislação vigente.</w:t>
      </w:r>
    </w:p>
    <w:p w14:paraId="7FAC5C3C">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entrega dos </w:t>
      </w:r>
      <w:bookmarkStart w:id="97" w:name="_Hlk216860171"/>
      <w:r>
        <w:rPr>
          <w:rFonts w:asciiTheme="minorHAnsi" w:hAnsiTheme="minorHAnsi" w:cstheme="minorHAnsi"/>
          <w:color w:val="EE0000"/>
          <w:sz w:val="22"/>
          <w:szCs w:val="22"/>
        </w:rPr>
        <w:t xml:space="preserve">materiais dos relativos aos </w:t>
      </w:r>
      <w:r>
        <w:rPr>
          <w:rFonts w:asciiTheme="minorHAnsi" w:hAnsiTheme="minorHAnsi" w:cstheme="minorHAnsi"/>
          <w:b/>
          <w:bCs/>
          <w:color w:val="EE0000"/>
          <w:sz w:val="22"/>
          <w:szCs w:val="22"/>
        </w:rPr>
        <w:t>itens 02 a 21</w:t>
      </w:r>
      <w:r>
        <w:rPr>
          <w:rFonts w:asciiTheme="minorHAnsi" w:hAnsiTheme="minorHAnsi" w:cstheme="minorHAnsi"/>
          <w:color w:val="EE0000"/>
          <w:sz w:val="22"/>
          <w:szCs w:val="22"/>
        </w:rPr>
        <w:t xml:space="preserve"> deverão ser realizados em até 15 (quinze) dias, a partir do recebimento da nota de empenho pelo Fornecedor, conforme subitem 18.1 do ETP.</w:t>
      </w:r>
      <w:bookmarkEnd w:id="97"/>
      <w:r>
        <w:rPr>
          <w:rFonts w:asciiTheme="minorHAnsi" w:hAnsiTheme="minorHAnsi" w:cstheme="minorHAnsi"/>
          <w:color w:val="EE0000"/>
          <w:sz w:val="22"/>
          <w:szCs w:val="22"/>
        </w:rPr>
        <w:t xml:space="preserve">  </w:t>
      </w:r>
    </w:p>
    <w:p w14:paraId="267D4995">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O Fornecedor  deverá entregar o </w:t>
      </w:r>
      <w:r>
        <w:rPr>
          <w:rFonts w:asciiTheme="minorHAnsi" w:hAnsiTheme="minorHAnsi" w:cstheme="minorHAnsi"/>
          <w:b/>
          <w:bCs/>
          <w:color w:val="EE0000"/>
          <w:sz w:val="22"/>
          <w:szCs w:val="22"/>
        </w:rPr>
        <w:t>Item 01 em regime de consignação</w:t>
      </w:r>
      <w:r>
        <w:rPr>
          <w:rFonts w:asciiTheme="minorHAnsi" w:hAnsiTheme="minorHAnsi" w:cstheme="minorHAnsi"/>
          <w:color w:val="EE0000"/>
          <w:sz w:val="22"/>
          <w:szCs w:val="22"/>
        </w:rPr>
        <w:t xml:space="preserve">, acompanhado de nota fiscal de simples remessa com “check list” , discriminando a quantidade, especificação do material, marca, série e número do lote, conforme planilha constante do subitem 18.3 do ETP. </w:t>
      </w:r>
    </w:p>
    <w:bookmarkEnd w:id="96"/>
    <w:p w14:paraId="06F2B49A">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bookmarkStart w:id="98" w:name="_Hlk216938199"/>
      <w:r>
        <w:rPr>
          <w:rFonts w:asciiTheme="minorHAnsi" w:hAnsiTheme="minorHAnsi" w:cstheme="minorHAnsi"/>
          <w:color w:val="EE0000"/>
          <w:sz w:val="22"/>
          <w:szCs w:val="22"/>
        </w:rPr>
        <w:t>O entrega dos bens de consumo médico-hospitalar correrá de forma parcelada, conforme demanda do Hospital Ana Nery.</w:t>
      </w:r>
    </w:p>
    <w:bookmarkEnd w:id="98"/>
    <w:p w14:paraId="3BECEA40">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bookmarkStart w:id="99" w:name="_Hlk216937670"/>
      <w:r>
        <w:rPr>
          <w:rFonts w:asciiTheme="minorHAnsi" w:hAnsiTheme="minorHAnsi" w:cstheme="minorHAnsi"/>
          <w:color w:val="EE0000"/>
          <w:sz w:val="22"/>
          <w:szCs w:val="22"/>
        </w:rPr>
        <w:t>As entregas dos bens de consumo médico-hospitalar correrão por conta do Fornecedor, sem gerar quaisquer ônus para o Hospital Ana Nery,  e será solicitada mediante emissão de nota de empenho</w:t>
      </w:r>
      <w:bookmarkEnd w:id="99"/>
      <w:r>
        <w:rPr>
          <w:rFonts w:asciiTheme="minorHAnsi" w:hAnsiTheme="minorHAnsi" w:cstheme="minorHAnsi"/>
          <w:color w:val="EE0000"/>
          <w:sz w:val="22"/>
          <w:szCs w:val="22"/>
        </w:rPr>
        <w:t>.</w:t>
      </w:r>
    </w:p>
    <w:p w14:paraId="5584D18B">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Caso não seja possível a entrega na data assinalada, a empresa deverá comunicar as razões respectivas com pelo menos 05 </w:t>
      </w:r>
    </w:p>
    <w:p w14:paraId="72B70566">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,(cinco) dias de antecedência para que qualquer pleito de prorrogação de prazo seja analisado, ressalvadas situações de caso fortuito e força maior.</w:t>
      </w:r>
    </w:p>
    <w:p w14:paraId="12DBE248">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bookmarkStart w:id="100" w:name="_Hlk216791317"/>
      <w:r>
        <w:rPr>
          <w:rFonts w:asciiTheme="minorHAnsi" w:hAnsiTheme="minorHAnsi" w:cstheme="minorHAnsi"/>
          <w:color w:val="EE0000"/>
          <w:sz w:val="22"/>
          <w:szCs w:val="22"/>
        </w:rPr>
        <w:t>O Fornecedor deverá fornecer os bens de consumo médico-hospitalar em perfeitas condições de uso, visando manter a continuidade dos serviços prestados pelo Hospital Ana Nery, e, substitui-los em caso de não conformidade com o objeto licitado.</w:t>
      </w:r>
    </w:p>
    <w:bookmarkEnd w:id="100"/>
    <w:p w14:paraId="2EE4A939">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Fornecedor sempre que necessário, deverá esclarecer dúvidas técnicas quanto aos materiais de consumo médico-hospitalar fornecidos</w:t>
      </w:r>
    </w:p>
    <w:p w14:paraId="1DAD889F">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método de embalagem deverá ser tal que garanta a proteção adequada ao fornecimento durante o transporte. Cada embalagem deverá estar devidamente protegida e acompanhar lista indicando seu conteúdo.</w:t>
      </w:r>
    </w:p>
    <w:p w14:paraId="05F680C2">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(Tópico 18.4 ETP).</w:t>
      </w:r>
    </w:p>
    <w:p w14:paraId="557842B6">
      <w:pPr>
        <w:pStyle w:val="63"/>
        <w:numPr>
          <w:ilvl w:val="1"/>
          <w:numId w:val="12"/>
        </w:numPr>
        <w:spacing w:before="120" w:after="120"/>
        <w:ind w:left="0" w:firstLine="0"/>
        <w:contextualSpacing w:val="0"/>
        <w:jc w:val="both"/>
        <w:rPr>
          <w:rFonts w:asciiTheme="minorHAnsi" w:hAnsiTheme="minorHAnsi" w:cstheme="minorHAnsi"/>
          <w:b/>
          <w:bCs/>
          <w:sz w:val="22"/>
          <w:szCs w:val="22"/>
          <w:u w:val="single"/>
        </w:rPr>
      </w:pPr>
      <w:bookmarkStart w:id="101" w:name="_Hlk216791902"/>
      <w:r>
        <w:rPr>
          <w:rFonts w:asciiTheme="minorHAnsi" w:hAnsiTheme="minorHAnsi" w:cstheme="minorHAnsi"/>
          <w:b/>
          <w:bCs/>
          <w:sz w:val="22"/>
          <w:szCs w:val="22"/>
          <w:u w:val="single"/>
        </w:rPr>
        <w:t>Garantia, manutenção e assistência técnica.</w:t>
      </w:r>
    </w:p>
    <w:bookmarkEnd w:id="101"/>
    <w:p w14:paraId="25050E40">
      <w:pPr>
        <w:pStyle w:val="63"/>
        <w:numPr>
          <w:ilvl w:val="1"/>
          <w:numId w:val="12"/>
        </w:numPr>
        <w:tabs>
          <w:tab w:val="left" w:pos="360"/>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199BE5FF">
      <w:pPr>
        <w:pStyle w:val="63"/>
        <w:numPr>
          <w:ilvl w:val="0"/>
          <w:numId w:val="12"/>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MODELO DE GESTÃO DO CONTRATO</w:t>
      </w:r>
    </w:p>
    <w:p w14:paraId="670285F8">
      <w:pPr>
        <w:pStyle w:val="63"/>
        <w:numPr>
          <w:ilvl w:val="1"/>
          <w:numId w:val="12"/>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3846A962">
      <w:pPr>
        <w:pStyle w:val="63"/>
        <w:numPr>
          <w:ilvl w:val="1"/>
          <w:numId w:val="12"/>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687E23E5">
      <w:pPr>
        <w:pStyle w:val="63"/>
        <w:numPr>
          <w:ilvl w:val="1"/>
          <w:numId w:val="12"/>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7D3F52E8">
      <w:pPr>
        <w:pStyle w:val="63"/>
        <w:numPr>
          <w:ilvl w:val="1"/>
          <w:numId w:val="12"/>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5D85D347">
      <w:pPr>
        <w:pStyle w:val="63"/>
        <w:numPr>
          <w:ilvl w:val="1"/>
          <w:numId w:val="12"/>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608CE0F">
      <w:pPr>
        <w:pStyle w:val="63"/>
        <w:numPr>
          <w:ilvl w:val="1"/>
          <w:numId w:val="12"/>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w:t>
      </w:r>
    </w:p>
    <w:p w14:paraId="21C2B0F1">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7º ,caput, Decreto nº 11.246, de 2022, art. 8º).</w:t>
      </w:r>
    </w:p>
    <w:p w14:paraId="56F4C8E2">
      <w:pPr>
        <w:pStyle w:val="63"/>
        <w:numPr>
          <w:ilvl w:val="1"/>
          <w:numId w:val="12"/>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b/>
          <w:bCs/>
          <w:sz w:val="22"/>
          <w:szCs w:val="22"/>
          <w:u w:val="single"/>
        </w:rPr>
        <w:t>Fiscalização Técnica</w:t>
      </w:r>
    </w:p>
    <w:p w14:paraId="59F29CFC">
      <w:pPr>
        <w:pStyle w:val="63"/>
        <w:numPr>
          <w:ilvl w:val="2"/>
          <w:numId w:val="12"/>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4B0DBA7B">
      <w:pPr>
        <w:pStyle w:val="63"/>
        <w:numPr>
          <w:ilvl w:val="0"/>
          <w:numId w:val="13"/>
        </w:numPr>
        <w:spacing w:before="120" w:after="120"/>
        <w:contextualSpacing w:val="0"/>
        <w:jc w:val="both"/>
        <w:rPr>
          <w:rFonts w:asciiTheme="minorHAnsi" w:hAnsiTheme="minorHAnsi" w:cstheme="minorHAnsi"/>
          <w:vanish/>
          <w:sz w:val="22"/>
          <w:szCs w:val="22"/>
        </w:rPr>
      </w:pPr>
    </w:p>
    <w:p w14:paraId="44778EEA">
      <w:pPr>
        <w:pStyle w:val="63"/>
        <w:numPr>
          <w:ilvl w:val="0"/>
          <w:numId w:val="13"/>
        </w:numPr>
        <w:spacing w:before="120" w:after="120"/>
        <w:contextualSpacing w:val="0"/>
        <w:jc w:val="both"/>
        <w:rPr>
          <w:rFonts w:asciiTheme="minorHAnsi" w:hAnsiTheme="minorHAnsi" w:cstheme="minorHAnsi"/>
          <w:vanish/>
          <w:sz w:val="22"/>
          <w:szCs w:val="22"/>
        </w:rPr>
      </w:pPr>
    </w:p>
    <w:p w14:paraId="30AB4452">
      <w:pPr>
        <w:pStyle w:val="63"/>
        <w:numPr>
          <w:ilvl w:val="0"/>
          <w:numId w:val="13"/>
        </w:numPr>
        <w:spacing w:before="120" w:after="120"/>
        <w:contextualSpacing w:val="0"/>
        <w:jc w:val="both"/>
        <w:rPr>
          <w:rFonts w:asciiTheme="minorHAnsi" w:hAnsiTheme="minorHAnsi" w:cstheme="minorHAnsi"/>
          <w:vanish/>
          <w:sz w:val="22"/>
          <w:szCs w:val="22"/>
        </w:rPr>
      </w:pPr>
    </w:p>
    <w:p w14:paraId="7456F8B1">
      <w:pPr>
        <w:pStyle w:val="63"/>
        <w:numPr>
          <w:ilvl w:val="1"/>
          <w:numId w:val="13"/>
        </w:numPr>
        <w:spacing w:before="120" w:after="120"/>
        <w:contextualSpacing w:val="0"/>
        <w:jc w:val="both"/>
        <w:rPr>
          <w:rFonts w:asciiTheme="minorHAnsi" w:hAnsiTheme="minorHAnsi" w:cstheme="minorHAnsi"/>
          <w:vanish/>
          <w:sz w:val="22"/>
          <w:szCs w:val="22"/>
        </w:rPr>
      </w:pPr>
    </w:p>
    <w:p w14:paraId="77D1CA7D">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6988CA6">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1E6AD938">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3C27E7BF">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77A6F350">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219BFEB1">
      <w:pPr>
        <w:pStyle w:val="63"/>
        <w:numPr>
          <w:ilvl w:val="1"/>
          <w:numId w:val="13"/>
        </w:numPr>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 Administrativa</w:t>
      </w:r>
    </w:p>
    <w:p w14:paraId="00C32091">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955243F">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23E82CA">
      <w:pPr>
        <w:pStyle w:val="63"/>
        <w:numPr>
          <w:ilvl w:val="2"/>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767D4AF">
      <w:pPr>
        <w:pStyle w:val="63"/>
        <w:numPr>
          <w:ilvl w:val="1"/>
          <w:numId w:val="13"/>
        </w:numPr>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Gestor do Contrato</w:t>
      </w:r>
    </w:p>
    <w:p w14:paraId="57494973">
      <w:pPr>
        <w:pStyle w:val="63"/>
        <w:numPr>
          <w:ilvl w:val="2"/>
          <w:numId w:val="13"/>
        </w:numPr>
        <w:spacing w:before="120" w:after="12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Cabe ao gestor do contrato:</w:t>
      </w:r>
    </w:p>
    <w:p w14:paraId="483473A2">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C3BF03C">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3A0663F5">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271BAB32">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A45EF75">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D97B99E">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elaborar relatório final com informações sobre a consecução dos objetivos que tenham justificado a contratação e eventuais condutas a serem adotadas para o aprimoramento das atividades da Administração.</w:t>
      </w:r>
    </w:p>
    <w:p w14:paraId="66D5C714">
      <w:pPr>
        <w:pStyle w:val="63"/>
        <w:numPr>
          <w:ilvl w:val="3"/>
          <w:numId w:val="13"/>
        </w:numPr>
        <w:tabs>
          <w:tab w:val="left" w:pos="851"/>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 nos termos do contrato.</w:t>
      </w:r>
    </w:p>
    <w:p w14:paraId="183A263D">
      <w:pPr>
        <w:pStyle w:val="63"/>
        <w:numPr>
          <w:ilvl w:val="0"/>
          <w:numId w:val="13"/>
        </w:numPr>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INFRAÇÕES E SANÇÕES ADMINISTRATIVAS</w:t>
      </w:r>
    </w:p>
    <w:p w14:paraId="79F09A55">
      <w:pPr>
        <w:pStyle w:val="63"/>
        <w:numPr>
          <w:ilvl w:val="1"/>
          <w:numId w:val="14"/>
        </w:numPr>
        <w:spacing w:before="120" w:after="120"/>
        <w:ind w:left="0" w:firstLine="0"/>
        <w:contextualSpacing w:val="0"/>
        <w:jc w:val="both"/>
        <w:rPr>
          <w:rFonts w:asciiTheme="minorHAnsi" w:hAnsiTheme="minorHAnsi" w:cstheme="minorHAnsi"/>
          <w:sz w:val="22"/>
          <w:szCs w:val="22"/>
        </w:rPr>
      </w:pPr>
      <w:bookmarkStart w:id="102" w:name="_Hlk216942621"/>
      <w:r>
        <w:rPr>
          <w:rFonts w:asciiTheme="minorHAnsi" w:hAnsiTheme="minorHAnsi" w:cstheme="minorHAnsi"/>
          <w:sz w:val="22"/>
          <w:szCs w:val="22"/>
        </w:rPr>
        <w:t xml:space="preserve">Comete infração administrativa, nos termos da lei, o licitante que, com dolo ou culpa: </w:t>
      </w:r>
    </w:p>
    <w:p w14:paraId="60CFC671">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w:t>
      </w:r>
    </w:p>
    <w:p w14:paraId="21B61B9E">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668D1AAF">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total do contrato;</w:t>
      </w:r>
    </w:p>
    <w:p w14:paraId="1ED8F0FF">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ensejar o retardamento da execução ou da entrega do objeto da contratação sem motivo justificado;</w:t>
      </w:r>
    </w:p>
    <w:p w14:paraId="0B6F0A88">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apresentar documentação falsa ou prestar declaração falsa durante a execução do contrato;</w:t>
      </w:r>
    </w:p>
    <w:p w14:paraId="520F25F0">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fraudulento na execução do contrato;</w:t>
      </w:r>
    </w:p>
    <w:p w14:paraId="5D1D75DE">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comportar-se de modo inidôneo ou cometer fraude de qualquer natureza;</w:t>
      </w:r>
    </w:p>
    <w:p w14:paraId="492FB83D">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lesivo previsto no art. 5º da Lei nº 12.846, de 1º de agosto de 2013.</w:t>
      </w:r>
    </w:p>
    <w:p w14:paraId="5A734DEC">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1BC5ECA7">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48D1D968">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3" w:name="_Hlk218502640"/>
      <w:r>
        <w:rPr>
          <w:rFonts w:asciiTheme="minorHAnsi" w:hAnsiTheme="minorHAnsi" w:cstheme="minorHAnsi"/>
          <w:sz w:val="22"/>
          <w:szCs w:val="22"/>
        </w:rPr>
        <w:t>Impedimento de licitar e contratar, quando praticadas as condutas descritas nos subitens 7.1.2, 7.1.3 e 7.1.4, acima, sempre que não se justificar a imposição de penalidade mais grave;</w:t>
      </w:r>
    </w:p>
    <w:bookmarkEnd w:id="103"/>
    <w:p w14:paraId="791E2F7C">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4" w:name="_Hlk218502662"/>
      <w:r>
        <w:rPr>
          <w:rFonts w:asciiTheme="minorHAnsi" w:hAnsiTheme="minorHAnsi" w:cstheme="min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4"/>
    <w:p w14:paraId="7272CEB5">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Multa:</w:t>
      </w:r>
    </w:p>
    <w:p w14:paraId="722CC090">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5" w:name="_Hlk218502681"/>
      <w:r>
        <w:rPr>
          <w:rFonts w:asciiTheme="minorHAnsi" w:hAnsiTheme="minorHAnsi" w:cstheme="minorHAnsi"/>
          <w:sz w:val="22"/>
          <w:szCs w:val="22"/>
        </w:rPr>
        <w:t xml:space="preserve">Moratória, para as infrações descritas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por dia de atraso injustificado sobre o valor da parcela inadimplida, até o limite de 30 (trinta) dias;</w:t>
      </w:r>
    </w:p>
    <w:bookmarkEnd w:id="105"/>
    <w:p w14:paraId="7C27F54F">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6" w:name="_Hlk218502697"/>
      <w:r>
        <w:rPr>
          <w:rFonts w:asciiTheme="minorHAnsi" w:hAnsiTheme="minorHAnsi" w:cstheme="minorHAnsi"/>
          <w:sz w:val="22"/>
          <w:szCs w:val="22"/>
        </w:rPr>
        <w:t xml:space="preserve">Compensatória, para as infrações descritas nos subitens 7.1.5 a 7.1.8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6"/>
    <w:p w14:paraId="3725E4DD">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7" w:name="_Hlk218502779"/>
      <w:r>
        <w:rPr>
          <w:rFonts w:asciiTheme="minorHAnsi" w:hAnsiTheme="minorHAnsi" w:cstheme="minorHAnsi"/>
          <w:sz w:val="22"/>
          <w:szCs w:val="22"/>
        </w:rPr>
        <w:t xml:space="preserve">Compensatória, para a inexecução total do contrato prevista no subitem 7.1.3,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7"/>
    <w:p w14:paraId="2F9607D6">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8" w:name="_Hlk218502794"/>
      <w:r>
        <w:rPr>
          <w:rFonts w:asciiTheme="minorHAnsi" w:hAnsiTheme="minorHAnsi" w:cstheme="minorHAnsi"/>
          <w:sz w:val="22"/>
          <w:szCs w:val="22"/>
        </w:rPr>
        <w:t xml:space="preserve">Compensatória, para a infração descrita acima no subitem 7.1.2,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8"/>
    <w:p w14:paraId="6A6C6203">
      <w:pPr>
        <w:pStyle w:val="63"/>
        <w:numPr>
          <w:ilvl w:val="2"/>
          <w:numId w:val="14"/>
        </w:numPr>
        <w:spacing w:before="120" w:after="120"/>
        <w:ind w:left="0" w:firstLine="0"/>
        <w:contextualSpacing w:val="0"/>
        <w:jc w:val="both"/>
        <w:rPr>
          <w:rFonts w:asciiTheme="minorHAnsi" w:hAnsiTheme="minorHAnsi" w:cstheme="minorHAnsi"/>
          <w:sz w:val="22"/>
          <w:szCs w:val="22"/>
        </w:rPr>
      </w:pPr>
      <w:bookmarkStart w:id="109" w:name="_Hlk175669195"/>
      <w:r>
        <w:rPr>
          <w:rFonts w:asciiTheme="minorHAnsi" w:hAnsiTheme="minorHAnsi" w:cstheme="minorHAnsi"/>
          <w:sz w:val="22"/>
          <w:szCs w:val="22"/>
        </w:rPr>
        <w:t xml:space="preserve">Compensatória, em substituição à multa moratória para a infração descrita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9"/>
    <w:p w14:paraId="6D04862E">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no subitem 7.1.1,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2"/>
    <w:p w14:paraId="313C002D">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6CE00B9E">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1CB8DEC5">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2EF8D730">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0F5DD4B3">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71616AA9">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FB02F84">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6C2A89DF">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451DD504">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5FB6886">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504F433A">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peculiaridades do caso concreto;</w:t>
      </w:r>
    </w:p>
    <w:p w14:paraId="5EAC894A">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25DC57E1">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4D5505A6">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4F735609">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36EAA8F">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10" w:name="_Hlk170830482"/>
      <w:r>
        <w:rPr>
          <w:rFonts w:asciiTheme="minorHAnsi" w:hAnsiTheme="minorHAnsi" w:cstheme="minorHAnsi"/>
          <w:sz w:val="22"/>
          <w:szCs w:val="22"/>
        </w:rPr>
        <w:t>previstos neste Termo de Referência</w:t>
      </w:r>
      <w:bookmarkEnd w:id="110"/>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BBCF823">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C1D6DA1">
      <w:pPr>
        <w:pStyle w:val="63"/>
        <w:numPr>
          <w:ilvl w:val="2"/>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7B517A9F">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3066F181">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5E12D1A">
      <w:pPr>
        <w:pStyle w:val="63"/>
        <w:numPr>
          <w:ilvl w:val="1"/>
          <w:numId w:val="14"/>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não exclui, em hipótese alguma, a obrigação de reparação integral dos danos causados ao Complexo Hospitalar e de Saúde-CHS/UFBA.</w:t>
      </w:r>
    </w:p>
    <w:p w14:paraId="0529227C">
      <w:pPr>
        <w:pStyle w:val="63"/>
        <w:numPr>
          <w:ilvl w:val="0"/>
          <w:numId w:val="14"/>
        </w:numPr>
        <w:rPr>
          <w:rFonts w:asciiTheme="minorHAnsi" w:hAnsiTheme="minorHAnsi" w:cstheme="minorHAnsi"/>
          <w:b/>
          <w:bCs/>
          <w:sz w:val="22"/>
          <w:szCs w:val="22"/>
        </w:rPr>
      </w:pPr>
      <w:r>
        <w:rPr>
          <w:rFonts w:asciiTheme="minorHAnsi" w:hAnsiTheme="minorHAnsi" w:cstheme="minorHAnsi"/>
          <w:b/>
          <w:bCs/>
          <w:sz w:val="22"/>
          <w:szCs w:val="22"/>
        </w:rPr>
        <w:t>CRITÉRIOS DE MEDIÇÃO E DE PAGAMENTO</w:t>
      </w:r>
    </w:p>
    <w:p w14:paraId="49125B76">
      <w:pPr>
        <w:pStyle w:val="63"/>
        <w:numPr>
          <w:ilvl w:val="1"/>
          <w:numId w:val="14"/>
        </w:numPr>
        <w:ind w:left="0" w:firstLine="0"/>
        <w:rPr>
          <w:rFonts w:asciiTheme="minorHAnsi" w:hAnsiTheme="minorHAnsi" w:cstheme="minorHAnsi"/>
          <w:b/>
          <w:bCs/>
          <w:sz w:val="22"/>
          <w:szCs w:val="22"/>
        </w:rPr>
      </w:pPr>
      <w:r>
        <w:rPr>
          <w:rFonts w:asciiTheme="minorHAnsi" w:hAnsiTheme="minorHAnsi" w:cstheme="minorHAnsi"/>
          <w:b/>
          <w:bCs/>
          <w:sz w:val="22"/>
          <w:szCs w:val="22"/>
        </w:rPr>
        <w:t>Recebimento</w:t>
      </w:r>
    </w:p>
    <w:p w14:paraId="4E4A2BB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471E2BBD">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cstheme="minorHAnsi"/>
          <w:color w:val="0070C0"/>
          <w:sz w:val="22"/>
          <w:szCs w:val="22"/>
        </w:rPr>
        <w:t xml:space="preserve">10 (dez) dias </w:t>
      </w:r>
      <w:r>
        <w:rPr>
          <w:rFonts w:asciiTheme="minorHAnsi" w:hAnsiTheme="minorHAnsi" w:cstheme="minorHAnsi"/>
          <w:sz w:val="22"/>
          <w:szCs w:val="22"/>
        </w:rPr>
        <w:t>corridos, a contar da notificação da contratada, às suas custas, sem prejuízo da aplicação das penalidades previstas neste Termo de Referência.</w:t>
      </w:r>
    </w:p>
    <w:p w14:paraId="27F258C8">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recebimento definitivo ocorrerá no prazo de </w:t>
      </w:r>
      <w:r>
        <w:rPr>
          <w:rFonts w:asciiTheme="minorHAnsi" w:hAnsiTheme="minorHAnsi" w:cstheme="minorHAnsi"/>
          <w:color w:val="0070C0"/>
          <w:sz w:val="22"/>
          <w:szCs w:val="22"/>
        </w:rPr>
        <w:t>05 (cinco)</w:t>
      </w:r>
      <w:r>
        <w:rPr>
          <w:rFonts w:asciiTheme="minorHAnsi" w:hAnsiTheme="minorHAnsi" w:cstheme="minorHAnsi"/>
          <w:sz w:val="22"/>
          <w:szCs w:val="22"/>
        </w:rPr>
        <w:t xml:space="preserve"> dias úteis, a contar do recebimento da nota fiscal ou instrumento de cobrança equivalente pela Administração, após a verificação da qualidade e quantidade dos materiais de consumo médico-hospitalar e consequente aceitação mediante termo detalhado.</w:t>
      </w:r>
    </w:p>
    <w:p w14:paraId="3B91B98D">
      <w:pPr>
        <w:pStyle w:val="63"/>
        <w:numPr>
          <w:ilvl w:val="2"/>
          <w:numId w:val="15"/>
        </w:numPr>
        <w:spacing w:before="120" w:after="120"/>
        <w:ind w:left="0" w:firstLine="0"/>
        <w:contextualSpacing w:val="0"/>
        <w:jc w:val="both"/>
        <w:rPr>
          <w:rFonts w:asciiTheme="minorHAnsi" w:hAnsiTheme="minorHAnsi" w:cstheme="minorHAnsi"/>
          <w:sz w:val="22"/>
          <w:szCs w:val="22"/>
        </w:rPr>
      </w:pPr>
      <w:bookmarkStart w:id="111" w:name="_Hlk219296828"/>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bookmarkEnd w:id="111"/>
    <w:p w14:paraId="4E18CB2E">
      <w:pPr>
        <w:pStyle w:val="63"/>
        <w:numPr>
          <w:ilvl w:val="2"/>
          <w:numId w:val="15"/>
        </w:numPr>
        <w:spacing w:before="120" w:after="120"/>
        <w:ind w:left="0" w:firstLine="0"/>
        <w:contextualSpacing w:val="0"/>
        <w:jc w:val="both"/>
        <w:rPr>
          <w:rFonts w:asciiTheme="minorHAnsi" w:hAnsiTheme="minorHAnsi" w:cstheme="minorHAnsi"/>
          <w:sz w:val="22"/>
          <w:szCs w:val="22"/>
        </w:rPr>
      </w:pPr>
      <w:bookmarkStart w:id="112" w:name="_Hlk219296876"/>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2"/>
    <w:p w14:paraId="68B66798">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2E57E23D">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4DE5C97">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recebimento provisório ou definitivo não excluirá a responsabilidade civil pela solidez e pela segurança dos bens nem a responsabilidade ético-profissional pela perfeita execução do contrato.</w:t>
      </w:r>
    </w:p>
    <w:p w14:paraId="0E6CFF02">
      <w:pPr>
        <w:pStyle w:val="63"/>
        <w:numPr>
          <w:ilvl w:val="2"/>
          <w:numId w:val="15"/>
        </w:numPr>
        <w:ind w:left="0" w:firstLine="0"/>
        <w:jc w:val="both"/>
        <w:rPr>
          <w:rFonts w:asciiTheme="minorHAnsi" w:hAnsiTheme="minorHAnsi" w:cstheme="minorHAnsi"/>
          <w:sz w:val="22"/>
          <w:szCs w:val="22"/>
        </w:rPr>
      </w:pPr>
      <w:r>
        <w:rPr>
          <w:rFonts w:asciiTheme="minorHAnsi"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088DB56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bens de consumo médico-hospitalar, para as devidas correções;</w:t>
      </w:r>
    </w:p>
    <w:p w14:paraId="45F1C181">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3AB9617D">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pagos os bens entregues em locais diferentes do mencionado no item 5.1.1. deste Termo de Referência ou bens entregues a funcionários do Hospital Ana Nery não autorizados;</w:t>
      </w:r>
    </w:p>
    <w:p w14:paraId="147FE516">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75BC227E">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10(dez) dias corridos, sob pena de aplicação das sanções previstas neste Termo de Referência;</w:t>
      </w:r>
    </w:p>
    <w:p w14:paraId="38BF2C66">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4B4289DE">
      <w:pPr>
        <w:pStyle w:val="63"/>
        <w:numPr>
          <w:ilvl w:val="1"/>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Liquidação</w:t>
      </w:r>
    </w:p>
    <w:p w14:paraId="17AF056A">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72363F8">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37A80EC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2D360917">
      <w:pPr>
        <w:pStyle w:val="63"/>
        <w:numPr>
          <w:ilvl w:val="3"/>
          <w:numId w:val="15"/>
        </w:numPr>
        <w:tabs>
          <w:tab w:val="left" w:pos="993"/>
        </w:tabs>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61320F0A">
      <w:pPr>
        <w:pStyle w:val="63"/>
        <w:numPr>
          <w:ilvl w:val="3"/>
          <w:numId w:val="15"/>
        </w:numPr>
        <w:tabs>
          <w:tab w:val="left" w:pos="993"/>
        </w:tabs>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data da emissão; </w:t>
      </w:r>
    </w:p>
    <w:p w14:paraId="39F8B5C8">
      <w:pPr>
        <w:pStyle w:val="63"/>
        <w:numPr>
          <w:ilvl w:val="3"/>
          <w:numId w:val="15"/>
        </w:numPr>
        <w:tabs>
          <w:tab w:val="left" w:pos="993"/>
        </w:tabs>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6276856A">
      <w:pPr>
        <w:pStyle w:val="63"/>
        <w:numPr>
          <w:ilvl w:val="3"/>
          <w:numId w:val="15"/>
        </w:numPr>
        <w:tabs>
          <w:tab w:val="left" w:pos="993"/>
        </w:tabs>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7FD7417B">
      <w:pPr>
        <w:pStyle w:val="63"/>
        <w:numPr>
          <w:ilvl w:val="3"/>
          <w:numId w:val="15"/>
        </w:numPr>
        <w:tabs>
          <w:tab w:val="left" w:pos="993"/>
        </w:tabs>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55D916D4">
      <w:pPr>
        <w:pStyle w:val="63"/>
        <w:numPr>
          <w:ilvl w:val="3"/>
          <w:numId w:val="15"/>
        </w:numPr>
        <w:tabs>
          <w:tab w:val="left" w:pos="993"/>
        </w:tabs>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1F63D505">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0967648">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19C5022E">
      <w:pPr>
        <w:pStyle w:val="63"/>
        <w:numPr>
          <w:ilvl w:val="2"/>
          <w:numId w:val="15"/>
        </w:numPr>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deverá realizar consulta ao SICAF para: </w:t>
      </w:r>
    </w:p>
    <w:p w14:paraId="7B188C2A">
      <w:pPr>
        <w:pStyle w:val="63"/>
        <w:numPr>
          <w:ilvl w:val="3"/>
          <w:numId w:val="15"/>
        </w:numPr>
        <w:tabs>
          <w:tab w:val="left" w:pos="993"/>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verificar a manutenção das condições de habilitação exigidas no edital; </w:t>
      </w:r>
    </w:p>
    <w:p w14:paraId="6D82F90B">
      <w:pPr>
        <w:pStyle w:val="63"/>
        <w:numPr>
          <w:ilvl w:val="3"/>
          <w:numId w:val="15"/>
        </w:numPr>
        <w:tabs>
          <w:tab w:val="left" w:pos="993"/>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0743653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6BAEC54">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BA9065E">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Persistindo a irregularidade, o contratante deverá adotar as medidas necessárias à rescisão contratual nos autos do processo administrativo correspondente, assegurada ao contratado a ampla defesa. </w:t>
      </w:r>
    </w:p>
    <w:p w14:paraId="5D041EB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SICAF.  </w:t>
      </w:r>
    </w:p>
    <w:p w14:paraId="4F7E2F12">
      <w:pPr>
        <w:pStyle w:val="63"/>
        <w:numPr>
          <w:ilvl w:val="1"/>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Prazo de pagamento</w:t>
      </w:r>
    </w:p>
    <w:p w14:paraId="5C028F67">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pagamento será efetuado no prazo de até </w:t>
      </w:r>
      <w:r>
        <w:rPr>
          <w:rFonts w:asciiTheme="minorHAnsi" w:hAnsiTheme="minorHAnsi" w:cstheme="minorHAnsi"/>
          <w:color w:val="000000" w:themeColor="text1"/>
          <w:sz w:val="22"/>
          <w:szCs w:val="22"/>
          <w14:textFill>
            <w14:solidFill>
              <w14:schemeClr w14:val="tx1"/>
            </w14:solidFill>
          </w14:textFill>
        </w:rPr>
        <w:t xml:space="preserve">10 (dez) dias </w:t>
      </w:r>
      <w:r>
        <w:rPr>
          <w:rFonts w:asciiTheme="minorHAnsi" w:hAnsiTheme="minorHAnsi" w:cstheme="minorHAnsi"/>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5D0FAF85">
      <w:pPr>
        <w:pStyle w:val="63"/>
        <w:widowControl w:val="0"/>
        <w:numPr>
          <w:ilvl w:val="2"/>
          <w:numId w:val="15"/>
        </w:numPr>
        <w:spacing w:before="120" w:after="120"/>
        <w:ind w:left="0" w:right="-1" w:firstLine="0"/>
        <w:contextualSpacing w:val="0"/>
        <w:jc w:val="both"/>
        <w:rPr>
          <w:rFonts w:asciiTheme="minorHAnsi" w:hAnsiTheme="minorHAnsi" w:eastAsiaTheme="majorEastAsia" w:cstheme="minorHAnsi"/>
          <w:bCs/>
          <w:color w:val="000000" w:themeColor="text1"/>
          <w:sz w:val="22"/>
          <w:szCs w:val="22"/>
          <w14:textFill>
            <w14:solidFill>
              <w14:schemeClr w14:val="tx1"/>
            </w14:solidFill>
          </w14:textFill>
        </w:rPr>
      </w:pPr>
      <w:bookmarkStart w:id="113" w:name="_Hlk216944177"/>
      <w:r>
        <w:rPr>
          <w:rFonts w:asciiTheme="minorHAnsi" w:hAnsiTheme="minorHAnsi" w:eastAsiaTheme="majorEastAsia" w:cstheme="minorHAnsi"/>
          <w:color w:val="000000" w:themeColor="text1"/>
          <w:sz w:val="22"/>
          <w:szCs w:val="22"/>
          <w14:textFill>
            <w14:solidFill>
              <w14:schemeClr w14:val="tx1"/>
            </w14:solidFill>
          </w14:textFill>
        </w:rPr>
        <w:t xml:space="preserve">No caso de atraso Pelo Contratante, os valores devidos ao Contratado serão atualizados monetariamente entre o termo final do prazo de pagamento até a data de sua efetiva realização, mediante aplicação do índice </w:t>
      </w:r>
      <w:r>
        <w:rPr>
          <w:rFonts w:asciiTheme="minorHAnsi" w:hAnsiTheme="minorHAnsi" w:eastAsiaTheme="majorEastAsia" w:cstheme="minorHAnsi"/>
          <w:color w:val="0070C0"/>
          <w:sz w:val="22"/>
          <w:szCs w:val="22"/>
        </w:rPr>
        <w:t xml:space="preserve">IPCA/IBGE </w:t>
      </w:r>
      <w:r>
        <w:rPr>
          <w:rFonts w:asciiTheme="minorHAnsi" w:hAnsiTheme="minorHAnsi" w:eastAsiaTheme="majorEastAsia" w:cstheme="minorHAnsi"/>
          <w:color w:val="000000" w:themeColor="text1"/>
          <w:sz w:val="22"/>
          <w:szCs w:val="22"/>
          <w14:textFill>
            <w14:solidFill>
              <w14:schemeClr w14:val="tx1"/>
            </w14:solidFill>
          </w14:textFill>
        </w:rPr>
        <w:t>de correção monetária.</w:t>
      </w:r>
    </w:p>
    <w:bookmarkEnd w:id="113"/>
    <w:p w14:paraId="353E41FD">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pagamento</w:t>
      </w:r>
    </w:p>
    <w:p w14:paraId="727C042C">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pagamento será realizado por meio de ordem bancária, para crédito em banco, agência e conta corrente indicados pelo contratado.</w:t>
      </w:r>
    </w:p>
    <w:p w14:paraId="7B046D7E">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Será considerada data do pagamento o dia em que constar como emitida a ordem bancária para pagamento.</w:t>
      </w:r>
    </w:p>
    <w:p w14:paraId="09031F21">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do pagamento, será efetuada a retenção tributária prevista na legislação aplicável.</w:t>
      </w:r>
    </w:p>
    <w:p w14:paraId="397A048A">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14:paraId="5647C22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7"/>
          <w:rFonts w:asciiTheme="minorHAnsi" w:hAnsiTheme="minorHAnsi" w:cstheme="minorHAnsi"/>
          <w:sz w:val="22"/>
          <w:szCs w:val="22"/>
        </w:rPr>
        <w:t>Lei Complementar nº 123, de  2006</w:t>
      </w:r>
      <w:r>
        <w:rPr>
          <w:rStyle w:val="17"/>
          <w:rFonts w:asciiTheme="minorHAnsi" w:hAnsiTheme="minorHAnsi" w:cstheme="minorHAnsi"/>
          <w:sz w:val="22"/>
          <w:szCs w:val="22"/>
        </w:rPr>
        <w:fldChar w:fldCharType="end"/>
      </w:r>
      <w:r>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5372A5">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Cessão de Crédito</w:t>
      </w:r>
    </w:p>
    <w:p w14:paraId="47316C0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cessões de crédito dependerão de prévia aprovação do Contratante.</w:t>
      </w:r>
    </w:p>
    <w:p w14:paraId="444B72C0">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eficácia da cessão de crédito, em relação à Administração, está condicionada à celebração de termo aditivo ao contrato administrativo.</w:t>
      </w:r>
    </w:p>
    <w:p w14:paraId="739C3CF6">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493776D6">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13F26DE">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cessão de crédito não afetará a execução do objeto contratado, que continuará sob a integral responsabilidade do Contratado.</w:t>
      </w:r>
    </w:p>
    <w:p w14:paraId="33100797">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disposto nesta seção não afeta as operações de crédito de que trata a Instrução Normativa SEGES/MGI nº 82, de 21 de fevereiro de 2025, as quais ficam por esta regidas.</w:t>
      </w:r>
    </w:p>
    <w:p w14:paraId="0E4116EB">
      <w:pPr>
        <w:pStyle w:val="63"/>
        <w:numPr>
          <w:ilvl w:val="1"/>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Reajuste</w:t>
      </w:r>
    </w:p>
    <w:p w14:paraId="3079756B">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preços inicialmente contratados são fixos e irreajustáveis no prazo de um ano contado  da data do orçamento estimado, </w:t>
      </w:r>
      <w:r>
        <w:rPr>
          <w:rFonts w:asciiTheme="minorHAnsi" w:hAnsiTheme="minorHAnsi" w:cstheme="minorHAnsi"/>
          <w:color w:val="0070C0"/>
          <w:sz w:val="22"/>
          <w:szCs w:val="22"/>
        </w:rPr>
        <w:t>em 17/04/2026</w:t>
      </w:r>
      <w:r>
        <w:rPr>
          <w:rFonts w:asciiTheme="minorHAnsi" w:hAnsiTheme="minorHAnsi" w:cstheme="minorHAnsi"/>
          <w:b/>
          <w:bCs/>
          <w:color w:val="0070C0"/>
          <w:sz w:val="22"/>
          <w:szCs w:val="22"/>
        </w:rPr>
        <w:t>.</w:t>
      </w:r>
      <w:r>
        <w:rPr>
          <w:rFonts w:asciiTheme="minorHAnsi" w:hAnsiTheme="minorHAnsi" w:cstheme="minorHAnsi"/>
          <w:color w:val="0070C0"/>
          <w:sz w:val="22"/>
          <w:szCs w:val="22"/>
        </w:rPr>
        <w:t xml:space="preserve"> </w:t>
      </w:r>
      <w:bookmarkStart w:id="114" w:name="_Hlk219878785"/>
      <w:r>
        <w:rPr>
          <w:rFonts w:asciiTheme="minorHAnsi" w:hAnsiTheme="minorHAnsi" w:eastAsiaTheme="majorEastAsia" w:cstheme="minorHAnsi"/>
          <w:color w:val="0070C0"/>
          <w:sz w:val="22"/>
          <w:szCs w:val="22"/>
        </w:rPr>
        <w:t>(Lei nº 14.133, de 2021, art. 25, §7º, e art. 92, inciso V e § 3º).</w:t>
      </w:r>
    </w:p>
    <w:bookmarkEnd w:id="114"/>
    <w:p w14:paraId="0862436C">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o interregno de um ano, e independentemente de pedido da Contratado, os preços iniciais serão reajustados, mediante a aplicação, pelo Contratante, do índice </w:t>
      </w:r>
      <w:r>
        <w:rPr>
          <w:rFonts w:asciiTheme="minorHAnsi" w:hAnsiTheme="minorHAnsi" w:cstheme="minorHAnsi"/>
          <w:sz w:val="22"/>
          <w:szCs w:val="22"/>
          <w:highlight w:val="cyan"/>
        </w:rPr>
        <w:t>IPCA/IBGE</w:t>
      </w:r>
      <w:r>
        <w:rPr>
          <w:rFonts w:asciiTheme="minorHAnsi" w:hAnsiTheme="minorHAnsi" w:cstheme="minorHAnsi"/>
          <w:sz w:val="22"/>
          <w:szCs w:val="22"/>
        </w:rPr>
        <w:t>, incidindo exclusivamente sobre as obrigações iniciadas após a implementação da anualidade.</w:t>
      </w:r>
    </w:p>
    <w:p w14:paraId="5D1D1341">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reajustes subsequentes ao primeiro, o interregno mínimo de um ano será contado a partir dos efeitos financeiros do último reajuste.</w:t>
      </w:r>
    </w:p>
    <w:p w14:paraId="3DADBE8F">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atraso ou não divulgação do índice de reajustamento, o Contratante pagará ao Contratado a importância calculada pela última variação conhecida, restando a obrigação a liquidar a diferença tão logo definido seja publicado.</w:t>
      </w:r>
    </w:p>
    <w:p w14:paraId="1BFBCD1A">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Nas aferições e pagamentos finais, o índice utilizado para o cálculo do reajuste deverá ser, obrigatoriamente , o definitivo.</w:t>
      </w:r>
    </w:p>
    <w:p w14:paraId="7A9B5D2D">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os índices estabelecidos para reajustamento venham a ser extinto ou se tornem inaplicáveis, será adotado o índice que vier a ser determinado pela legislação superveniente.</w:t>
      </w:r>
    </w:p>
    <w:p w14:paraId="66CDE518">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00E29064">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formalização do reajuste de preços será realizada por simples apostilamento dispensando a celebração de termo aditivo, conforme art. 136. Inciso I, da Lei nº 14.133, de 2021.</w:t>
      </w:r>
    </w:p>
    <w:p w14:paraId="2CA01F69">
      <w:pPr>
        <w:pStyle w:val="63"/>
        <w:numPr>
          <w:ilvl w:val="0"/>
          <w:numId w:val="15"/>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FORMA E CRITÉRIOS DE SELEÇÃO DO FORNECEDOR E FORMA DE FORNECIMENTO</w:t>
      </w:r>
    </w:p>
    <w:p w14:paraId="6986A589">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seleção e critério de julgamento da proposta</w:t>
      </w:r>
    </w:p>
    <w:p w14:paraId="657C7101">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A seleção do fornecedor dar-se-á mediante licitação na modalidade </w:t>
      </w:r>
      <w:r>
        <w:rPr>
          <w:rFonts w:eastAsia="Times New Roman" w:asciiTheme="minorHAnsi" w:hAnsiTheme="minorHAnsi" w:cstheme="minorHAnsi"/>
          <w:b/>
          <w:bCs/>
          <w:color w:val="EE0000"/>
          <w:sz w:val="22"/>
          <w:szCs w:val="22"/>
        </w:rPr>
        <w:t>Pregão</w:t>
      </w:r>
      <w:r>
        <w:rPr>
          <w:rFonts w:eastAsia="Times New Roman" w:asciiTheme="minorHAnsi" w:hAnsiTheme="minorHAnsi" w:cstheme="minorHAnsi"/>
          <w:color w:val="EE0000"/>
          <w:sz w:val="22"/>
          <w:szCs w:val="22"/>
        </w:rPr>
        <w:t xml:space="preserve">, em sua forma </w:t>
      </w:r>
      <w:r>
        <w:rPr>
          <w:rFonts w:eastAsia="Times New Roman" w:asciiTheme="minorHAnsi" w:hAnsiTheme="minorHAnsi" w:cstheme="minorHAnsi"/>
          <w:b/>
          <w:bCs/>
          <w:color w:val="EE0000"/>
          <w:sz w:val="22"/>
          <w:szCs w:val="22"/>
        </w:rPr>
        <w:t>eletrônica</w:t>
      </w:r>
      <w:r>
        <w:rPr>
          <w:rFonts w:eastAsia="Times New Roman" w:asciiTheme="minorHAnsi" w:hAnsiTheme="minorHAnsi" w:cstheme="minorHAnsi"/>
          <w:color w:val="EE0000"/>
          <w:sz w:val="22"/>
          <w:szCs w:val="22"/>
        </w:rPr>
        <w:t xml:space="preserve">, adotando-se o critério de julgamento pelo </w:t>
      </w:r>
      <w:r>
        <w:rPr>
          <w:rFonts w:eastAsia="Times New Roman" w:asciiTheme="minorHAnsi" w:hAnsiTheme="minorHAnsi" w:cstheme="minorHAnsi"/>
          <w:b/>
          <w:bCs/>
          <w:color w:val="EE0000"/>
          <w:sz w:val="22"/>
          <w:szCs w:val="22"/>
        </w:rPr>
        <w:t>menor preço</w:t>
      </w:r>
      <w:r>
        <w:rPr>
          <w:rFonts w:eastAsia="Times New Roman" w:asciiTheme="minorHAnsi" w:hAnsiTheme="minorHAnsi" w:cstheme="minorHAnsi"/>
          <w:color w:val="EE0000"/>
          <w:sz w:val="22"/>
          <w:szCs w:val="22"/>
        </w:rPr>
        <w:t>.</w:t>
      </w:r>
    </w:p>
    <w:p w14:paraId="55908C5C">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O certame será processado sob o amparo da Lei Federal nº 14.133/2021, utilizando-se o </w:t>
      </w:r>
      <w:r>
        <w:rPr>
          <w:rFonts w:eastAsia="Times New Roman" w:asciiTheme="minorHAnsi" w:hAnsiTheme="minorHAnsi" w:cstheme="minorHAnsi"/>
          <w:b/>
          <w:bCs/>
          <w:color w:val="EE0000"/>
          <w:sz w:val="22"/>
          <w:szCs w:val="22"/>
        </w:rPr>
        <w:t>Sistema de Registro de Preços (SRP)</w:t>
      </w:r>
      <w:r>
        <w:rPr>
          <w:rFonts w:eastAsia="Times New Roman" w:asciiTheme="minorHAnsi" w:hAnsiTheme="minorHAnsi" w:cstheme="minorHAnsi"/>
          <w:color w:val="EE0000"/>
          <w:sz w:val="22"/>
          <w:szCs w:val="22"/>
        </w:rPr>
        <w:t xml:space="preserve"> como procedimento auxiliar, nos termos do art. 78, inciso IV, do normativo regente.</w:t>
      </w:r>
    </w:p>
    <w:p w14:paraId="4BEA3408">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 e Regime de Execução</w:t>
      </w:r>
    </w:p>
    <w:p w14:paraId="1287A818">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bookmarkStart w:id="115" w:name="_Hlk230184002"/>
      <w:r>
        <w:rPr>
          <w:rFonts w:eastAsia="Times New Roman" w:asciiTheme="minorHAnsi" w:hAnsiTheme="minorHAnsi" w:cstheme="minorHAnsi"/>
          <w:color w:val="EE0000"/>
          <w:sz w:val="22"/>
          <w:szCs w:val="22"/>
        </w:rPr>
        <w:t xml:space="preserve">O fornecimento dos materiais cárdio hemodinâmicos e cirúrgicos cardíacos ocorrerá de forma </w:t>
      </w:r>
      <w:r>
        <w:rPr>
          <w:rFonts w:eastAsia="Times New Roman" w:asciiTheme="minorHAnsi" w:hAnsiTheme="minorHAnsi" w:cstheme="minorHAnsi"/>
          <w:b/>
          <w:bCs/>
          <w:color w:val="EE0000"/>
          <w:sz w:val="22"/>
          <w:szCs w:val="22"/>
        </w:rPr>
        <w:t>parcelada e sob demanda</w:t>
      </w:r>
      <w:r>
        <w:rPr>
          <w:rFonts w:eastAsia="Times New Roman" w:asciiTheme="minorHAnsi" w:hAnsiTheme="minorHAnsi" w:cstheme="minorHAnsi"/>
          <w:color w:val="EE0000"/>
          <w:sz w:val="22"/>
          <w:szCs w:val="22"/>
        </w:rPr>
        <w:t>, de acordo com as necessidades assistenciais e o fluxo de procedimentos do Hospital Ana Nery, durante o prazo de vigência da Ata de Registro de Preços.</w:t>
      </w:r>
    </w:p>
    <w:p w14:paraId="21B5DB1B">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As entregas serão solicitadas formalmente pela Administração por meio de Nota de Empenho</w:t>
      </w:r>
      <w:r>
        <w:rPr>
          <w:rFonts w:eastAsia="Times New Roman" w:asciiTheme="minorHAnsi" w:hAnsiTheme="minorHAnsi" w:cstheme="minorHAnsi"/>
          <w:b/>
          <w:bCs/>
          <w:color w:val="EE0000"/>
          <w:sz w:val="22"/>
          <w:szCs w:val="22"/>
        </w:rPr>
        <w:t>(NE)</w:t>
      </w:r>
      <w:r>
        <w:rPr>
          <w:rFonts w:eastAsia="Times New Roman" w:asciiTheme="minorHAnsi" w:hAnsiTheme="minorHAnsi" w:cstheme="minorHAnsi"/>
          <w:color w:val="EE0000"/>
          <w:sz w:val="22"/>
          <w:szCs w:val="22"/>
        </w:rPr>
        <w:t xml:space="preserve"> ou documento equivalente, onde constarão a especificação dos itens, os quantitativos exigidos e o local de entrega.</w:t>
      </w:r>
    </w:p>
    <w:p w14:paraId="4557C4EF">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O parcelamento justifica-se pela impossibilidade de armazenamento global do objeto, pela necessidade de controle rigoroso dos prazos de validade (esterilização) dos insumos e pela dinamicidade da rotina cirúrgica do hospital, garantindo a eficiência logística e evitando o desperdício de recursos públicos.</w:t>
      </w:r>
    </w:p>
    <w:bookmarkEnd w:id="115"/>
    <w:p w14:paraId="2A1153DC">
      <w:pPr>
        <w:pStyle w:val="63"/>
        <w:numPr>
          <w:ilvl w:val="1"/>
          <w:numId w:val="15"/>
        </w:numPr>
        <w:spacing w:before="120" w:after="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Critérios de aceitabilidade de preços</w:t>
      </w:r>
    </w:p>
    <w:p w14:paraId="224E66C1">
      <w:pPr>
        <w:pStyle w:val="26"/>
        <w:numPr>
          <w:ilvl w:val="2"/>
          <w:numId w:val="15"/>
        </w:numPr>
        <w:spacing w:before="120" w:beforeAutospacing="0" w:after="120" w:afterAutospacing="0"/>
        <w:ind w:left="0" w:firstLine="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Os critérios de aceitabilidade de preços observarão estritamente os limites máximos fixados pela Administração, em conformidade com o art. 56 da Lei Federal nº 14.133/2021.</w:t>
      </w:r>
    </w:p>
    <w:p w14:paraId="4A4DB47A">
      <w:pPr>
        <w:pStyle w:val="63"/>
        <w:numPr>
          <w:ilvl w:val="2"/>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critério de aceitabilidade das propostas será o preço unitário máximo fixado para cada item, conforme planilha orçamentária constante no Item 1 (um) deste Termo de Referência.</w:t>
      </w:r>
    </w:p>
    <w:p w14:paraId="17324C64">
      <w:pPr>
        <w:pStyle w:val="63"/>
        <w:numPr>
          <w:ilvl w:val="2"/>
          <w:numId w:val="15"/>
        </w:numPr>
        <w:spacing w:before="120" w:after="12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Serão sumariamente desclassificadas as propostas que:</w:t>
      </w:r>
    </w:p>
    <w:p w14:paraId="7379CCDD">
      <w:pPr>
        <w:pStyle w:val="63"/>
        <w:numPr>
          <w:ilvl w:val="2"/>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Apresentarem preço unitário superior ao valor máximo estimado e fixado pela Administração para o respectivo item;</w:t>
      </w:r>
    </w:p>
    <w:p w14:paraId="0AA4FF6F">
      <w:pPr>
        <w:pStyle w:val="63"/>
        <w:numPr>
          <w:ilvl w:val="2"/>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Apresentarem preços manifestamente inexequíveis, cuja inviabilidade venha a ser constatada na fase de julgamento, nos termos do art. 59 da Lei nº 14.133/2021.</w:t>
      </w:r>
    </w:p>
    <w:p w14:paraId="42A7C184">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Exigências de habilitação</w:t>
      </w:r>
    </w:p>
    <w:p w14:paraId="68109353">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4CAC877B">
      <w:pPr>
        <w:pStyle w:val="63"/>
        <w:numPr>
          <w:ilvl w:val="3"/>
          <w:numId w:val="15"/>
        </w:numPr>
        <w:spacing w:before="120" w:after="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jurídica</w:t>
      </w:r>
    </w:p>
    <w:p w14:paraId="7CD4C353">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bookmarkStart w:id="116"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116"/>
    </w:p>
    <w:p w14:paraId="7ABF0ED7">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empresário individual: inscrição no Registro Público de Empresas Mercantis, a cargo da Junta Comercial da respectiva sede.</w:t>
      </w:r>
    </w:p>
    <w:p w14:paraId="2D02A85B">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7"/>
          <w:rFonts w:asciiTheme="minorHAnsi" w:hAnsiTheme="minorHAnsi" w:cstheme="minorHAnsi"/>
          <w:sz w:val="22"/>
          <w:szCs w:val="22"/>
        </w:rPr>
        <w:t>https://www.gov.br/empresas-e-negocios/pt-br/empreendedor</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41C92D42">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EFCE9A8">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7"/>
          <w:rFonts w:asciiTheme="minorHAnsi" w:hAnsiTheme="minorHAnsi" w:cstheme="minorHAnsi"/>
          <w:sz w:val="22"/>
          <w:szCs w:val="22"/>
        </w:rPr>
        <w:t>Normativa DREI/ME n.º 77, de 18 de março de 2020</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4BA3103C">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33E008EF">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7" w:name="_Int_ySfCXwr4"/>
      <w:r>
        <w:rPr>
          <w:rFonts w:asciiTheme="minorHAnsi" w:hAnsiTheme="minorHAnsi" w:cstheme="minorHAnsi"/>
          <w:sz w:val="22"/>
          <w:szCs w:val="22"/>
        </w:rPr>
        <w:t>Mercantis onde</w:t>
      </w:r>
      <w:bookmarkEnd w:id="117"/>
      <w:r>
        <w:rPr>
          <w:rFonts w:asciiTheme="minorHAnsi" w:hAnsiTheme="minorHAnsi" w:cstheme="minorHAnsi"/>
          <w:sz w:val="22"/>
          <w:szCs w:val="22"/>
        </w:rPr>
        <w:t xml:space="preserve"> opera, com averbação no Registro onde tem sede a matriz;</w:t>
      </w:r>
    </w:p>
    <w:p w14:paraId="648D5F3B">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7"/>
          <w:rFonts w:asciiTheme="minorHAnsi" w:hAnsiTheme="minorHAnsi" w:cstheme="minorHAnsi"/>
          <w:sz w:val="22"/>
          <w:szCs w:val="22"/>
        </w:rPr>
        <w:t>art. 107 da Lei nº 5.764, de 16 de dezembro 1971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0C6B7F7E">
      <w:pPr>
        <w:pStyle w:val="63"/>
        <w:numPr>
          <w:ilvl w:val="4"/>
          <w:numId w:val="15"/>
        </w:numPr>
        <w:tabs>
          <w:tab w:val="left" w:pos="709"/>
          <w:tab w:val="left" w:pos="1134"/>
        </w:tab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373C0BC5">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fiscal, social e trabalhista</w:t>
      </w:r>
    </w:p>
    <w:p w14:paraId="7C25E92A">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3593F6E3">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5CB55E">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01009E39">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39B94AB">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311206EA">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189A7E32">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06AE656">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CF7BC04">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Qualificação Econômico-Financeira</w:t>
      </w:r>
    </w:p>
    <w:p w14:paraId="2FCDA917">
      <w:pPr>
        <w:pStyle w:val="63"/>
        <w:numPr>
          <w:ilvl w:val="2"/>
          <w:numId w:val="15"/>
        </w:numPr>
        <w:spacing w:before="120" w:after="120"/>
        <w:ind w:left="0" w:firstLine="0"/>
        <w:contextualSpacing w:val="0"/>
        <w:jc w:val="both"/>
        <w:rPr>
          <w:rFonts w:asciiTheme="minorHAnsi" w:hAnsiTheme="minorHAnsi" w:cstheme="minorHAnsi"/>
          <w:sz w:val="22"/>
          <w:szCs w:val="22"/>
        </w:rPr>
      </w:pPr>
      <w:bookmarkStart w:id="118" w:name="_Hlk216945528"/>
      <w:r>
        <w:rPr>
          <w:rFonts w:asciiTheme="minorHAnsi" w:hAnsiTheme="minorHAnsi" w:cstheme="minorHAnsi"/>
          <w:sz w:val="22"/>
          <w:szCs w:val="22"/>
        </w:rPr>
        <w:t>Certidão negativa de insolvência civil expedida pelo distribuidor do domicilio ou sede do interessado, caso se trate de pessoa física, deste que admitida a sua participação na licitação, ou de sociedade simples.</w:t>
      </w:r>
    </w:p>
    <w:bookmarkEnd w:id="118"/>
    <w:p w14:paraId="434AC22F">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7"/>
          <w:rFonts w:asciiTheme="minorHAnsi" w:hAnsiTheme="minorHAnsi" w:cstheme="minorHAnsi"/>
          <w:sz w:val="22"/>
          <w:szCs w:val="22"/>
        </w:rPr>
        <w:t>Lei nº 14.133, de 2021, art. 69, caput, inciso II</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3897FF21">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w:t>
      </w:r>
      <w:r>
        <w:rPr>
          <w:rFonts w:asciiTheme="minorHAnsi" w:hAnsiTheme="minorHAnsi" w:cstheme="minorHAnsi"/>
          <w:color w:val="0070C0"/>
          <w:sz w:val="22"/>
          <w:szCs w:val="22"/>
        </w:rPr>
        <w:t>dos 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47B3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7902FC0D">
            <w:pPr>
              <w:pStyle w:val="63"/>
              <w:spacing w:before="120" w:after="120"/>
              <w:ind w:left="360"/>
              <w:contextualSpacing w:val="0"/>
              <w:jc w:val="both"/>
              <w:rPr>
                <w:rFonts w:asciiTheme="minorHAnsi" w:hAnsiTheme="minorHAnsi" w:cstheme="minorHAnsi"/>
                <w:sz w:val="22"/>
                <w:szCs w:val="22"/>
              </w:rPr>
            </w:pPr>
            <w:bookmarkStart w:id="119"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0351428E">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3BC3D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57D12B6C">
            <w:pPr>
              <w:pStyle w:val="63"/>
              <w:numPr>
                <w:ilvl w:val="0"/>
                <w:numId w:val="15"/>
              </w:numPr>
              <w:spacing w:before="120" w:after="120"/>
              <w:contextualSpacing w:val="0"/>
              <w:jc w:val="both"/>
              <w:rPr>
                <w:rFonts w:asciiTheme="minorHAnsi" w:hAnsiTheme="minorHAnsi" w:cstheme="minorHAnsi"/>
                <w:sz w:val="22"/>
                <w:szCs w:val="22"/>
              </w:rPr>
            </w:pPr>
          </w:p>
        </w:tc>
        <w:tc>
          <w:tcPr>
            <w:tcW w:w="4252" w:type="dxa"/>
            <w:gridSpan w:val="2"/>
            <w:tcBorders>
              <w:top w:val="single" w:color="auto" w:sz="4" w:space="0"/>
            </w:tcBorders>
          </w:tcPr>
          <w:p w14:paraId="2C520646">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7380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6555EC70">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5DA88E9C">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Total</w:t>
            </w:r>
          </w:p>
        </w:tc>
      </w:tr>
      <w:tr w14:paraId="716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533E12F9">
            <w:pPr>
              <w:pStyle w:val="63"/>
              <w:numPr>
                <w:ilvl w:val="0"/>
                <w:numId w:val="15"/>
              </w:numPr>
              <w:spacing w:before="120" w:after="120"/>
              <w:contextualSpacing w:val="0"/>
              <w:jc w:val="both"/>
              <w:rPr>
                <w:rFonts w:asciiTheme="minorHAnsi" w:hAnsiTheme="minorHAnsi" w:cstheme="minorHAnsi"/>
                <w:sz w:val="22"/>
                <w:szCs w:val="22"/>
              </w:rPr>
            </w:pPr>
          </w:p>
        </w:tc>
        <w:tc>
          <w:tcPr>
            <w:tcW w:w="4394" w:type="dxa"/>
            <w:gridSpan w:val="3"/>
            <w:tcBorders>
              <w:top w:val="single" w:color="auto" w:sz="4" w:space="0"/>
            </w:tcBorders>
          </w:tcPr>
          <w:p w14:paraId="3CDC6A58">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5BC69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142010BC">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06355AB5">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Circulante</w:t>
            </w:r>
          </w:p>
        </w:tc>
      </w:tr>
      <w:tr w14:paraId="338DC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6BFCF889">
            <w:pPr>
              <w:pStyle w:val="63"/>
              <w:numPr>
                <w:ilvl w:val="0"/>
                <w:numId w:val="15"/>
              </w:numPr>
              <w:spacing w:before="120" w:after="120"/>
              <w:contextualSpacing w:val="0"/>
              <w:jc w:val="both"/>
              <w:rPr>
                <w:rFonts w:asciiTheme="minorHAnsi" w:hAnsiTheme="minorHAnsi" w:cstheme="minorHAnsi"/>
                <w:sz w:val="22"/>
                <w:szCs w:val="22"/>
              </w:rPr>
            </w:pPr>
          </w:p>
        </w:tc>
        <w:tc>
          <w:tcPr>
            <w:tcW w:w="2551" w:type="dxa"/>
            <w:tcBorders>
              <w:top w:val="single" w:color="auto" w:sz="4" w:space="0"/>
            </w:tcBorders>
          </w:tcPr>
          <w:p w14:paraId="44F747AB">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w:t>
            </w:r>
          </w:p>
        </w:tc>
      </w:tr>
      <w:bookmarkEnd w:id="119"/>
    </w:tbl>
    <w:p w14:paraId="67D56B70">
      <w:pPr>
        <w:pStyle w:val="63"/>
        <w:numPr>
          <w:ilvl w:val="2"/>
          <w:numId w:val="15"/>
        </w:numPr>
        <w:spacing w:before="120" w:after="120"/>
        <w:ind w:left="0" w:firstLine="0"/>
        <w:contextualSpacing w:val="0"/>
        <w:jc w:val="both"/>
        <w:rPr>
          <w:rFonts w:asciiTheme="minorHAnsi" w:hAnsiTheme="minorHAnsi" w:cstheme="minorHAnsi"/>
          <w:sz w:val="22"/>
          <w:szCs w:val="22"/>
        </w:rPr>
      </w:pPr>
      <w:bookmarkStart w:id="120" w:name="_Hlk218504123"/>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 (dez por cento) </w:t>
      </w:r>
      <w:r>
        <w:rPr>
          <w:rFonts w:asciiTheme="minorHAnsi" w:hAnsiTheme="minorHAnsi" w:cstheme="minorHAnsi"/>
          <w:sz w:val="22"/>
          <w:szCs w:val="22"/>
        </w:rPr>
        <w:t>do valor total estimado da contratação.</w:t>
      </w:r>
    </w:p>
    <w:p w14:paraId="51CE5D10">
      <w:pPr>
        <w:pStyle w:val="63"/>
        <w:numPr>
          <w:ilvl w:val="2"/>
          <w:numId w:val="15"/>
        </w:numPr>
        <w:spacing w:before="120" w:after="120"/>
        <w:ind w:left="0" w:firstLine="0"/>
        <w:contextualSpacing w:val="0"/>
        <w:jc w:val="both"/>
        <w:rPr>
          <w:rFonts w:asciiTheme="minorHAnsi" w:hAnsiTheme="minorHAnsi" w:cstheme="minorHAnsi"/>
          <w:sz w:val="22"/>
          <w:szCs w:val="22"/>
        </w:rPr>
      </w:pPr>
      <w:bookmarkStart w:id="121"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21"/>
    <w:p w14:paraId="3831AE8B">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2997ACC1">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5264E0AB">
      <w:pPr>
        <w:pStyle w:val="63"/>
        <w:numPr>
          <w:ilvl w:val="2"/>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p w14:paraId="3E62251F">
      <w:pPr>
        <w:pStyle w:val="63"/>
        <w:numPr>
          <w:ilvl w:val="1"/>
          <w:numId w:val="15"/>
        </w:numPr>
        <w:spacing w:before="120" w:after="120"/>
        <w:ind w:left="0" w:firstLine="0"/>
        <w:contextualSpacing w:val="0"/>
        <w:jc w:val="both"/>
        <w:rPr>
          <w:rFonts w:asciiTheme="minorHAnsi" w:hAnsiTheme="minorHAnsi" w:cstheme="minorHAnsi"/>
          <w:b/>
          <w:bCs/>
          <w:color w:val="000000" w:themeColor="text1"/>
          <w:sz w:val="22"/>
          <w:szCs w:val="22"/>
          <w:u w:val="single"/>
          <w14:textFill>
            <w14:solidFill>
              <w14:schemeClr w14:val="tx1"/>
            </w14:solidFill>
          </w14:textFill>
        </w:rPr>
      </w:pPr>
      <w:bookmarkStart w:id="122" w:name="_Hlk228772823"/>
      <w:r>
        <w:rPr>
          <w:rFonts w:asciiTheme="minorHAnsi" w:hAnsiTheme="minorHAnsi" w:cstheme="minorHAnsi"/>
          <w:b/>
          <w:bCs/>
          <w:color w:val="000000" w:themeColor="text1"/>
          <w:sz w:val="22"/>
          <w:szCs w:val="22"/>
          <w:u w:val="single"/>
          <w14:textFill>
            <w14:solidFill>
              <w14:schemeClr w14:val="tx1"/>
            </w14:solidFill>
          </w14:textFill>
        </w:rPr>
        <w:t>Qualificação Técnica.</w:t>
      </w:r>
    </w:p>
    <w:bookmarkEnd w:id="120"/>
    <w:bookmarkEnd w:id="122"/>
    <w:p w14:paraId="41A640CF">
      <w:pPr>
        <w:pStyle w:val="63"/>
        <w:numPr>
          <w:ilvl w:val="2"/>
          <w:numId w:val="15"/>
        </w:numPr>
        <w:spacing w:before="120" w:after="12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Requisitos Sanitários e de Regularidade (ANVISA)</w:t>
      </w:r>
    </w:p>
    <w:p w14:paraId="50294AD9">
      <w:pPr>
        <w:pStyle w:val="63"/>
        <w:numPr>
          <w:ilvl w:val="3"/>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fins de comprovação da capacidade técnica e regularidade sanitária dos materiais destinados aos procedimentos hemodinâmicos e cirúrgicos cardíacos, os licitantes deverão apresentar:</w:t>
      </w:r>
    </w:p>
    <w:p w14:paraId="733E22C5">
      <w:pPr>
        <w:pStyle w:val="63"/>
        <w:numPr>
          <w:ilvl w:val="4"/>
          <w:numId w:val="15"/>
        </w:numPr>
        <w:tabs>
          <w:tab w:val="left" w:pos="993"/>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Registro ou Cadastro do Produto: Certificado de registro válido de cada produto ofertado na Agência Nacional de Vigilância Sanitária (ANVISA), nos termos da Lei nº 6.360/1976 e do Decreto Federal nº 8.077/2013, ou a publicação correspondente no Diário Oficial da União (DOU).</w:t>
      </w:r>
    </w:p>
    <w:p w14:paraId="0ED77E40">
      <w:pPr>
        <w:pStyle w:val="63"/>
        <w:numPr>
          <w:ilvl w:val="4"/>
          <w:numId w:val="15"/>
        </w:numPr>
        <w:tabs>
          <w:tab w:val="left" w:pos="993"/>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Em caso de registro vencido, o licitante deverá apresentar o comprovante do protocolo do pedido de revalidação, efetuado no prazo e moldes do art. 8º do Decreto Federal nº 8.077/2013, acompanhado da cópia do registro vencido.</w:t>
      </w:r>
    </w:p>
    <w:p w14:paraId="39F613C2">
      <w:pPr>
        <w:pStyle w:val="63"/>
        <w:numPr>
          <w:ilvl w:val="4"/>
          <w:numId w:val="15"/>
        </w:numPr>
        <w:tabs>
          <w:tab w:val="left" w:pos="993"/>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Caso o produto seja legalmente dispensado de registro/cadastro, deverá ser apresentada a comprovação do ato de dispensa emitido pela ANVISA ou a fundamentação legal aplicável.</w:t>
      </w:r>
    </w:p>
    <w:p w14:paraId="3AD47BF8">
      <w:pPr>
        <w:pStyle w:val="63"/>
        <w:numPr>
          <w:ilvl w:val="4"/>
          <w:numId w:val="15"/>
        </w:numPr>
        <w:tabs>
          <w:tab w:val="left" w:pos="993"/>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Autorização de Funcionamento (AFE): Autorização de Funcionamento de Empresa (AFE) emitida pela ANVISA, em plena validade, aplicável à atividade exercida pelo licitante (fabricação, importação ou distribuição de materiais de uso em saúde).</w:t>
      </w:r>
    </w:p>
    <w:p w14:paraId="3107DBD5">
      <w:pPr>
        <w:pStyle w:val="63"/>
        <w:numPr>
          <w:ilvl w:val="4"/>
          <w:numId w:val="15"/>
        </w:numPr>
        <w:tabs>
          <w:tab w:val="left" w:pos="993"/>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Licença Sanitária Local: Alvará Sanitário ou Licença de Funcionamento expedida pelo órgão de Vigilância Sanitária Estadual ou Municipal da sede do licitante, atualizado e em conformidade com a legislação sanitária vigente.</w:t>
      </w:r>
    </w:p>
    <w:p w14:paraId="163C7D73">
      <w:pPr>
        <w:pStyle w:val="63"/>
        <w:numPr>
          <w:ilvl w:val="2"/>
          <w:numId w:val="15"/>
        </w:numPr>
        <w:spacing w:before="120" w:after="120"/>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Comprovação das Especificações Técnicas do Objeto</w:t>
      </w:r>
    </w:p>
    <w:p w14:paraId="63F003B9">
      <w:pPr>
        <w:pStyle w:val="63"/>
        <w:numPr>
          <w:ilvl w:val="3"/>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validação das características técnicas declaradas na proposta, os licitantes deverão apresentar documentos oficiais de domínio público emitidos pelo fabricante (catálogos, manuais, fichas técnicas ou especificações do fabricante).</w:t>
      </w:r>
    </w:p>
    <w:p w14:paraId="33656A28">
      <w:pPr>
        <w:pStyle w:val="63"/>
        <w:numPr>
          <w:ilvl w:val="3"/>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documentos apresentados devem identificar claramente o nome comercial, a marca, o fabricante e todos os códigos/modelos dos produtos ofertados.</w:t>
      </w:r>
    </w:p>
    <w:p w14:paraId="5E75BE0A">
      <w:pPr>
        <w:pStyle w:val="63"/>
        <w:numPr>
          <w:ilvl w:val="3"/>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prospectos e materiais informativos redigidos em idioma estrangeiro deverão ser acompanhados de tradução para a língua portuguesa.</w:t>
      </w:r>
    </w:p>
    <w:p w14:paraId="156D22E7">
      <w:pPr>
        <w:pStyle w:val="63"/>
        <w:numPr>
          <w:ilvl w:val="3"/>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Tratando-se de distribuidor ou comercializador, os documentos de comprovação técnica e sanitária deverão ser apresentados individualmente para cada marca/fabricante dos produtos cotados.</w:t>
      </w:r>
    </w:p>
    <w:p w14:paraId="0F5D65FE">
      <w:pPr>
        <w:pStyle w:val="63"/>
        <w:numPr>
          <w:ilvl w:val="3"/>
          <w:numId w:val="15"/>
        </w:numPr>
        <w:spacing w:before="120" w:after="120"/>
        <w:ind w:left="0" w:firstLine="0"/>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Das Formalidades e Apresentação dos Documentos (Processo Eletrônico)</w:t>
      </w:r>
    </w:p>
    <w:p w14:paraId="0D521BDA">
      <w:pPr>
        <w:pStyle w:val="63"/>
        <w:numPr>
          <w:ilvl w:val="3"/>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Em consonância com o regime digital da Lei nº 14.133/2021, todos os documentos deverão ser inseridos no sistema em arquivos digitais nativos ou digitalizados, com resolução que garanta a perfeita legibilidade de textos, assinaturas, carimbos e códigos de autenticação.</w:t>
      </w:r>
    </w:p>
    <w:p w14:paraId="64E7BFC4">
      <w:pPr>
        <w:pStyle w:val="63"/>
        <w:numPr>
          <w:ilvl w:val="2"/>
          <w:numId w:val="15"/>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otimização da fase de julgamento pelo Hospital Ana Nery, os licitantes deverão indicar expressamente, no corpo do documento enviado (seja folha de catálogo ou publicação no DOU), o número do item a que o documento se refere.</w:t>
      </w:r>
    </w:p>
    <w:p w14:paraId="5403322A">
      <w:pPr>
        <w:pStyle w:val="5"/>
        <w:widowControl w:val="0"/>
        <w:numPr>
          <w:ilvl w:val="1"/>
          <w:numId w:val="15"/>
        </w:numPr>
        <w:autoSpaceDE w:val="0"/>
        <w:autoSpaceDN w:val="0"/>
        <w:ind w:left="0" w:firstLine="0"/>
        <w:rPr>
          <w:rFonts w:asciiTheme="minorHAnsi" w:hAnsiTheme="minorHAnsi" w:cstheme="minorHAnsi"/>
          <w:b/>
          <w:bCs/>
          <w:i w:val="0"/>
          <w:iCs w:val="0"/>
          <w:color w:val="EE0000"/>
          <w:sz w:val="22"/>
          <w:szCs w:val="22"/>
          <w:u w:val="single"/>
        </w:rPr>
      </w:pPr>
      <w:r>
        <w:rPr>
          <w:rFonts w:asciiTheme="minorHAnsi" w:hAnsiTheme="minorHAnsi" w:cstheme="minorHAnsi"/>
          <w:b/>
          <w:bCs/>
          <w:i w:val="0"/>
          <w:iCs w:val="0"/>
          <w:color w:val="EE0000"/>
          <w:sz w:val="22"/>
          <w:szCs w:val="22"/>
          <w:u w:val="single"/>
        </w:rPr>
        <w:t>Da Proposta</w:t>
      </w:r>
    </w:p>
    <w:p w14:paraId="76B2F372">
      <w:pPr>
        <w:pStyle w:val="26"/>
        <w:widowControl w:val="0"/>
        <w:numPr>
          <w:ilvl w:val="2"/>
          <w:numId w:val="15"/>
        </w:numPr>
        <w:autoSpaceDE w:val="0"/>
        <w:autoSpaceDN w:val="0"/>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b/>
          <w:bCs/>
          <w:color w:val="EE0000"/>
          <w:sz w:val="22"/>
          <w:szCs w:val="22"/>
        </w:rPr>
        <w:t>Dos Requisitos de Aceitabilidade da Proposta e requisitos de conformidade do Produto:</w:t>
      </w:r>
    </w:p>
    <w:p w14:paraId="65F44F25">
      <w:pPr>
        <w:pStyle w:val="63"/>
        <w:numPr>
          <w:ilvl w:val="3"/>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b/>
          <w:bCs/>
          <w:color w:val="EE0000"/>
          <w:sz w:val="22"/>
          <w:szCs w:val="22"/>
        </w:rPr>
        <w:t>Dos Requisitos Gerais da Proposta Econômica</w:t>
      </w:r>
    </w:p>
    <w:p w14:paraId="3A400B8C">
      <w:pPr>
        <w:pStyle w:val="63"/>
        <w:numPr>
          <w:ilvl w:val="4"/>
          <w:numId w:val="15"/>
        </w:numPr>
        <w:tabs>
          <w:tab w:val="left" w:pos="1134"/>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O licitante deverá indicar expressamente, em sua proposta formulada no sistema eletrônico, a </w:t>
      </w:r>
      <w:r>
        <w:rPr>
          <w:rFonts w:eastAsia="Times New Roman" w:asciiTheme="minorHAnsi" w:hAnsiTheme="minorHAnsi" w:cstheme="minorHAnsi"/>
          <w:b/>
          <w:bCs/>
          <w:color w:val="EE0000"/>
          <w:sz w:val="22"/>
          <w:szCs w:val="22"/>
        </w:rPr>
        <w:t>marca</w:t>
      </w:r>
      <w:r>
        <w:rPr>
          <w:rFonts w:eastAsia="Times New Roman" w:asciiTheme="minorHAnsi" w:hAnsiTheme="minorHAnsi" w:cstheme="minorHAnsi"/>
          <w:color w:val="EE0000"/>
          <w:sz w:val="22"/>
          <w:szCs w:val="22"/>
        </w:rPr>
        <w:t xml:space="preserve">, </w:t>
      </w:r>
      <w:r>
        <w:rPr>
          <w:rFonts w:eastAsia="Times New Roman" w:asciiTheme="minorHAnsi" w:hAnsiTheme="minorHAnsi" w:cstheme="minorHAnsi"/>
          <w:b/>
          <w:bCs/>
          <w:color w:val="EE0000"/>
          <w:sz w:val="22"/>
          <w:szCs w:val="22"/>
        </w:rPr>
        <w:t>o lote</w:t>
      </w:r>
      <w:r>
        <w:rPr>
          <w:rFonts w:eastAsia="Times New Roman" w:asciiTheme="minorHAnsi" w:hAnsiTheme="minorHAnsi" w:cstheme="minorHAnsi"/>
          <w:color w:val="EE0000"/>
          <w:sz w:val="22"/>
          <w:szCs w:val="22"/>
        </w:rPr>
        <w:t xml:space="preserve">, o </w:t>
      </w:r>
      <w:r>
        <w:rPr>
          <w:rFonts w:eastAsia="Times New Roman" w:asciiTheme="minorHAnsi" w:hAnsiTheme="minorHAnsi" w:cstheme="minorHAnsi"/>
          <w:b/>
          <w:bCs/>
          <w:color w:val="EE0000"/>
          <w:sz w:val="22"/>
          <w:szCs w:val="22"/>
        </w:rPr>
        <w:t>modelo</w:t>
      </w:r>
      <w:r>
        <w:rPr>
          <w:rFonts w:eastAsia="Times New Roman" w:asciiTheme="minorHAnsi" w:hAnsiTheme="minorHAnsi" w:cstheme="minorHAnsi"/>
          <w:color w:val="EE0000"/>
          <w:sz w:val="22"/>
          <w:szCs w:val="22"/>
        </w:rPr>
        <w:t xml:space="preserve"> e o </w:t>
      </w:r>
      <w:r>
        <w:rPr>
          <w:rFonts w:eastAsia="Times New Roman" w:asciiTheme="minorHAnsi" w:hAnsiTheme="minorHAnsi" w:cstheme="minorHAnsi"/>
          <w:b/>
          <w:bCs/>
          <w:color w:val="EE0000"/>
          <w:sz w:val="22"/>
          <w:szCs w:val="22"/>
        </w:rPr>
        <w:t>fabricante</w:t>
      </w:r>
      <w:r>
        <w:rPr>
          <w:rFonts w:eastAsia="Times New Roman" w:asciiTheme="minorHAnsi" w:hAnsiTheme="minorHAnsi" w:cstheme="minorHAnsi"/>
          <w:color w:val="EE0000"/>
          <w:sz w:val="22"/>
          <w:szCs w:val="22"/>
        </w:rPr>
        <w:t xml:space="preserve"> de cada item ofertado, sob pena de desclassificação.</w:t>
      </w:r>
    </w:p>
    <w:p w14:paraId="5B359281">
      <w:pPr>
        <w:pStyle w:val="63"/>
        <w:numPr>
          <w:ilvl w:val="4"/>
          <w:numId w:val="15"/>
        </w:numPr>
        <w:tabs>
          <w:tab w:val="left" w:pos="993"/>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As características técnicas do produto cotado deverão ser descritas de forma detalhada na proposta e, obrigatoriamente, comprovadas por meio de documentos de domínio público emitidos pelo fabricante.</w:t>
      </w:r>
    </w:p>
    <w:p w14:paraId="261740FD">
      <w:pPr>
        <w:pStyle w:val="63"/>
        <w:numPr>
          <w:ilvl w:val="4"/>
          <w:numId w:val="15"/>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Serão admitidos para fins de comprovação: catálogos técnicos, manuais de instrução, fichas técnicas ou impressões de páginas oficiais do fabricante na internet, desde que contenham a descrição clara (visual e descritiva) das propriedades, componentes e dimensões do produto.</w:t>
      </w:r>
    </w:p>
    <w:p w14:paraId="041BE089">
      <w:pPr>
        <w:pStyle w:val="63"/>
        <w:numPr>
          <w:ilvl w:val="4"/>
          <w:numId w:val="15"/>
        </w:numPr>
        <w:tabs>
          <w:tab w:val="left" w:pos="851"/>
        </w:tabs>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Documentos, catálogos ou materiais informativos redigidos em idioma estrangeiro deverão ser acompanhados de tradução simples para a língua portuguesa, facultado ao Pregoeiro, em caso de dúvida ou divergência, exigir tradução juramentada mediante diligência (art. 59, § 2º da Lei nº 14.133/2021).</w:t>
      </w:r>
    </w:p>
    <w:p w14:paraId="01DB3732">
      <w:pPr>
        <w:pStyle w:val="63"/>
        <w:numPr>
          <w:ilvl w:val="1"/>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b/>
          <w:bCs/>
          <w:color w:val="EE0000"/>
          <w:sz w:val="22"/>
          <w:szCs w:val="22"/>
        </w:rPr>
        <w:t>Da Regularidade Sanitária dos Produtos (ANVISA)</w:t>
      </w:r>
    </w:p>
    <w:p w14:paraId="6F426239">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O licitante deverá apresentar, junto à sua proposta e documentos complementares, cópia legível do </w:t>
      </w:r>
      <w:r>
        <w:rPr>
          <w:rFonts w:eastAsia="Times New Roman" w:asciiTheme="minorHAnsi" w:hAnsiTheme="minorHAnsi" w:cstheme="minorHAnsi"/>
          <w:b/>
          <w:bCs/>
          <w:color w:val="EE0000"/>
          <w:sz w:val="22"/>
          <w:szCs w:val="22"/>
        </w:rPr>
        <w:t>Certificado de Registro</w:t>
      </w:r>
      <w:r>
        <w:rPr>
          <w:rFonts w:eastAsia="Times New Roman" w:asciiTheme="minorHAnsi" w:hAnsiTheme="minorHAnsi" w:cstheme="minorHAnsi"/>
          <w:color w:val="EE0000"/>
          <w:sz w:val="22"/>
          <w:szCs w:val="22"/>
        </w:rPr>
        <w:t xml:space="preserve"> de cada produto ofertado perante a Agência Nacional de Vigilância Sanitária (ANVISA/Ministério da Saúde), dentro do prazo de validade, em estrito cumprimento ao art. 7º do Decreto Federal nº 8.077/2013 e à Lei nº 6.360/1976.</w:t>
      </w:r>
    </w:p>
    <w:p w14:paraId="3A6162BA">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Em substituição ao certificado, será admitida a apresentação da publicação do respectivo registro no Diário Oficial da União (D.O.U.), desde que acompanhada do código de identificação do produto (número do registro).</w:t>
      </w:r>
    </w:p>
    <w:p w14:paraId="3850A0CC">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Caso o registro sanitário esteja vencido na data de apresentação da proposta, o licitante deverá apresentar o certificado de registro expirado acompanhado do respectivo </w:t>
      </w:r>
      <w:r>
        <w:rPr>
          <w:rFonts w:eastAsia="Times New Roman" w:asciiTheme="minorHAnsi" w:hAnsiTheme="minorHAnsi" w:cstheme="minorHAnsi"/>
          <w:b/>
          <w:bCs/>
          <w:color w:val="EE0000"/>
          <w:sz w:val="22"/>
          <w:szCs w:val="22"/>
        </w:rPr>
        <w:t>comprovante de protocolo do pedido de revalidação</w:t>
      </w:r>
      <w:r>
        <w:rPr>
          <w:rFonts w:eastAsia="Times New Roman" w:asciiTheme="minorHAnsi" w:hAnsiTheme="minorHAnsi" w:cstheme="minorHAnsi"/>
          <w:color w:val="EE0000"/>
          <w:sz w:val="22"/>
          <w:szCs w:val="22"/>
        </w:rPr>
        <w:t>, protocolizado junto à ANVISA no prazo legal (antecedência mínima de 180 dias do vencimento), nos termos do art. 8º do Decreto Federal nº 8.077/2013.</w:t>
      </w:r>
    </w:p>
    <w:p w14:paraId="70ABA857">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Para os produtos enquadrados pela ANVISA na categoria de </w:t>
      </w:r>
      <w:r>
        <w:rPr>
          <w:rFonts w:eastAsia="Times New Roman" w:asciiTheme="minorHAnsi" w:hAnsiTheme="minorHAnsi" w:cstheme="minorHAnsi"/>
          <w:b/>
          <w:bCs/>
          <w:color w:val="EE0000"/>
          <w:sz w:val="22"/>
          <w:szCs w:val="22"/>
        </w:rPr>
        <w:t>isentos de registro</w:t>
      </w:r>
      <w:r>
        <w:rPr>
          <w:rFonts w:eastAsia="Times New Roman" w:asciiTheme="minorHAnsi" w:hAnsiTheme="minorHAnsi" w:cstheme="minorHAnsi"/>
          <w:color w:val="EE0000"/>
          <w:sz w:val="22"/>
          <w:szCs w:val="22"/>
        </w:rPr>
        <w:t>, o licitante deverá apresentar o comprovante de cadastramento ou o documento formal de dispensa emitido pela Agência reguladora, devendo o código de cadastro estar ativo no sistema de consulta da ANVISA.</w:t>
      </w:r>
    </w:p>
    <w:p w14:paraId="71D3323F">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No caso de documentos extraídos do Diário Oficial da União (DOU) ou de relatórios extensos da ANVISA, o licitante deverá, preferencialmente, destacar graficamente (marca-texto) o produto cotado e correlacioná-lo ao número do respectivo lote/item do Edital, com o escopo de conferir celeridade e eficiência à fase de julgamento.</w:t>
      </w:r>
    </w:p>
    <w:p w14:paraId="6D06B784">
      <w:pPr>
        <w:pStyle w:val="63"/>
        <w:numPr>
          <w:ilvl w:val="2"/>
          <w:numId w:val="15"/>
        </w:numPr>
        <w:spacing w:before="120" w:after="120"/>
        <w:ind w:left="0" w:firstLine="0"/>
        <w:contextualSpacing w:val="0"/>
        <w:jc w:val="both"/>
        <w:rPr>
          <w:rFonts w:eastAsia="Times New Roman" w:asciiTheme="minorHAnsi" w:hAnsiTheme="minorHAnsi" w:cstheme="minorHAnsi"/>
          <w:color w:val="EE0000"/>
          <w:sz w:val="22"/>
          <w:szCs w:val="22"/>
        </w:rPr>
      </w:pPr>
      <w:r>
        <w:rPr>
          <w:rFonts w:eastAsia="Times New Roman" w:asciiTheme="minorHAnsi" w:hAnsiTheme="minorHAnsi" w:cstheme="minorHAnsi"/>
          <w:color w:val="EE0000"/>
          <w:sz w:val="22"/>
          <w:szCs w:val="22"/>
        </w:rPr>
        <w:t xml:space="preserve"> Os documentos de regularidade sanitária apresentados por empresas distribuidoras deverão estar estritamente vinculados a cada marca e fabricante dos produtos efetivamente cotados na proposta de preços, guardando perfeita identidade com os códigos regulatórios do detentor do registro.</w:t>
      </w:r>
    </w:p>
    <w:p w14:paraId="066C1B20">
      <w:pPr>
        <w:pStyle w:val="63"/>
        <w:numPr>
          <w:ilvl w:val="1"/>
          <w:numId w:val="15"/>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Disposições gerais sobre habilitação</w:t>
      </w:r>
    </w:p>
    <w:p w14:paraId="06D7B42B">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F8B54A3">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61D6D57">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4C1A4C79">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CCA116A">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0E633461">
      <w:pPr>
        <w:pStyle w:val="63"/>
        <w:numPr>
          <w:ilvl w:val="0"/>
          <w:numId w:val="15"/>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ESTIMATIVAS DO VALOR DA CONTRATAÇÃO</w:t>
      </w:r>
    </w:p>
    <w:p w14:paraId="6DB93DCB">
      <w:pPr>
        <w:pStyle w:val="63"/>
        <w:numPr>
          <w:ilvl w:val="1"/>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custo estimado da contratação, que corresponde ao valor máximo aceitável, é de </w:t>
      </w:r>
      <w:r>
        <w:rPr>
          <w:rFonts w:asciiTheme="minorHAnsi" w:hAnsiTheme="minorHAnsi" w:cstheme="minorHAnsi"/>
          <w:color w:val="0070C0"/>
          <w:sz w:val="22"/>
          <w:szCs w:val="22"/>
        </w:rPr>
        <w:t xml:space="preserve">R$ 7.383.662,74 ( Sete milhões, trezentos e oitenta e três mil, seiscentos e sessenta e dois reais e setenta e quatro centavos), </w:t>
      </w:r>
      <w:r>
        <w:rPr>
          <w:rFonts w:asciiTheme="minorHAnsi" w:hAnsiTheme="minorHAnsi" w:cstheme="minorHAnsi"/>
          <w:sz w:val="22"/>
          <w:szCs w:val="22"/>
        </w:rPr>
        <w:t>conforme custos unitários apostos na tabela contida no item 1.1 acima.</w:t>
      </w:r>
    </w:p>
    <w:p w14:paraId="2C9BF5CF">
      <w:pPr>
        <w:pStyle w:val="63"/>
        <w:numPr>
          <w:ilvl w:val="1"/>
          <w:numId w:val="15"/>
        </w:numPr>
        <w:spacing w:before="120" w:after="120"/>
        <w:ind w:left="0" w:firstLine="0"/>
        <w:contextualSpacing w:val="0"/>
        <w:jc w:val="both"/>
        <w:rPr>
          <w:rFonts w:asciiTheme="minorHAnsi" w:hAnsiTheme="minorHAnsi" w:cstheme="minorHAnsi"/>
          <w:sz w:val="22"/>
          <w:szCs w:val="22"/>
        </w:rPr>
      </w:pPr>
      <w:bookmarkStart w:id="123" w:name="_Hlk218504267"/>
      <w:r>
        <w:rPr>
          <w:rFonts w:asciiTheme="minorHAnsi" w:hAnsiTheme="minorHAnsi" w:cstheme="minorHAnsi"/>
          <w:sz w:val="22"/>
          <w:szCs w:val="22"/>
        </w:rPr>
        <w:t>Pesquisa de preços apurados pelo Núcleo de Compras do CHS, conforme documentos anexo ao processo.</w:t>
      </w:r>
    </w:p>
    <w:bookmarkEnd w:id="123"/>
    <w:p w14:paraId="604AC265">
      <w:pPr>
        <w:pStyle w:val="63"/>
        <w:numPr>
          <w:ilvl w:val="1"/>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E46FFE8">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263FDE2">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criação, alteração ou extinção de quaisquer tributos ou encargos legais ou superveniência de disposições legais, com comprovada repercussão sobre os preços registrados;</w:t>
      </w:r>
    </w:p>
    <w:p w14:paraId="6E63C727">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reajustados os preços registrados, respeitada a contagem da anualidade e o índice previsto para a contratação; ou</w:t>
      </w:r>
    </w:p>
    <w:p w14:paraId="64A084F9">
      <w:pPr>
        <w:pStyle w:val="63"/>
        <w:numPr>
          <w:ilvl w:val="2"/>
          <w:numId w:val="15"/>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poderão ser repactuados, a pedido do interessado, conforme critérios definidos para a contratação.</w:t>
      </w:r>
    </w:p>
    <w:p w14:paraId="17749984">
      <w:pPr>
        <w:pStyle w:val="63"/>
        <w:numPr>
          <w:ilvl w:val="0"/>
          <w:numId w:val="15"/>
        </w:numPr>
        <w:shd w:val="clear" w:color="auto" w:fill="F1F1F1" w:themeFill="background1" w:themeFillShade="F2"/>
        <w:spacing w:before="120" w:after="120"/>
        <w:ind w:left="357" w:hanging="357"/>
        <w:contextualSpacing w:val="0"/>
        <w:rPr>
          <w:rFonts w:asciiTheme="minorHAnsi" w:hAnsiTheme="minorHAnsi" w:cstheme="minorHAnsi"/>
          <w:b/>
          <w:bCs/>
          <w:sz w:val="22"/>
          <w:szCs w:val="22"/>
        </w:rPr>
      </w:pPr>
      <w:r>
        <w:rPr>
          <w:rFonts w:asciiTheme="minorHAnsi" w:hAnsiTheme="minorHAnsi" w:cstheme="minorHAnsi"/>
          <w:b/>
          <w:bCs/>
          <w:sz w:val="22"/>
          <w:szCs w:val="22"/>
        </w:rPr>
        <w:t>ADEQUAÇÃO ORÇAMENTÁRIA</w:t>
      </w:r>
    </w:p>
    <w:p w14:paraId="7DDE18E5">
      <w:pPr>
        <w:pStyle w:val="63"/>
        <w:widowControl w:val="0"/>
        <w:numPr>
          <w:ilvl w:val="1"/>
          <w:numId w:val="15"/>
        </w:numPr>
        <w:spacing w:before="120" w:after="120"/>
        <w:ind w:left="0" w:right="-1" w:firstLine="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607E6D64">
      <w:pPr>
        <w:spacing w:after="0" w:line="240" w:lineRule="auto"/>
        <w:jc w:val="both"/>
        <w:rPr>
          <w:rFonts w:cstheme="minorHAnsi"/>
          <w:color w:val="EE0000"/>
        </w:rPr>
      </w:pPr>
      <w:r>
        <w:rPr>
          <w:rFonts w:cstheme="minorHAnsi"/>
          <w:color w:val="EE0000"/>
        </w:rPr>
        <w:t>GESTÃO/UNIDADE: 15223/150247</w:t>
      </w:r>
    </w:p>
    <w:p w14:paraId="5AFFC0B2">
      <w:pPr>
        <w:spacing w:after="0" w:line="240" w:lineRule="auto"/>
        <w:jc w:val="both"/>
        <w:rPr>
          <w:rFonts w:cstheme="minorHAnsi"/>
          <w:color w:val="EE0000"/>
        </w:rPr>
      </w:pPr>
      <w:r>
        <w:rPr>
          <w:rFonts w:cstheme="minorHAnsi"/>
          <w:color w:val="EE0000"/>
        </w:rPr>
        <w:t>PROGRAMA: Fortalecimento do Sistema Único de Saúde (SUS)</w:t>
      </w:r>
    </w:p>
    <w:p w14:paraId="67BAA111">
      <w:pPr>
        <w:spacing w:after="0" w:line="240" w:lineRule="auto"/>
        <w:jc w:val="both"/>
        <w:rPr>
          <w:rFonts w:cstheme="minorHAnsi"/>
          <w:color w:val="EE0000"/>
        </w:rPr>
      </w:pPr>
      <w:r>
        <w:rPr>
          <w:rFonts w:cstheme="minorHAnsi"/>
          <w:color w:val="EE0000"/>
        </w:rPr>
        <w:t>AÇÃO: Atenção à Saúde da População para Procedimentos em Média e Alta Complexidade</w:t>
      </w:r>
    </w:p>
    <w:p w14:paraId="0D5AE428">
      <w:pPr>
        <w:spacing w:after="0" w:line="240" w:lineRule="auto"/>
        <w:jc w:val="both"/>
        <w:rPr>
          <w:rFonts w:cstheme="minorHAnsi"/>
          <w:color w:val="EE0000"/>
        </w:rPr>
      </w:pPr>
      <w:r>
        <w:rPr>
          <w:rFonts w:cstheme="minorHAnsi"/>
          <w:color w:val="EE0000"/>
        </w:rPr>
        <w:t>FONTE: Fundo Nacional da Saúde/Ministério da Saúde</w:t>
      </w:r>
    </w:p>
    <w:p w14:paraId="2872E373">
      <w:pPr>
        <w:pStyle w:val="63"/>
        <w:widowControl w:val="0"/>
        <w:numPr>
          <w:ilvl w:val="1"/>
          <w:numId w:val="15"/>
        </w:numPr>
        <w:spacing w:before="120" w:after="120"/>
        <w:ind w:left="0" w:right="-1" w:firstLine="0"/>
        <w:jc w:val="both"/>
        <w:rPr>
          <w:rFonts w:asciiTheme="minorHAnsi" w:hAnsiTheme="minorHAnsi" w:cstheme="minorHAnsi"/>
          <w:sz w:val="22"/>
          <w:szCs w:val="22"/>
        </w:rPr>
      </w:pPr>
      <w:bookmarkStart w:id="124"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24"/>
    <w:p w14:paraId="2290711C">
      <w:pPr>
        <w:pStyle w:val="49"/>
        <w:rPr>
          <w:rFonts w:asciiTheme="minorHAnsi" w:hAnsiTheme="minorHAnsi" w:cstheme="minorHAnsi"/>
        </w:rPr>
      </w:pPr>
      <w:r>
        <w:rPr>
          <w:rFonts w:asciiTheme="minorHAnsi" w:hAnsiTheme="minorHAnsi" w:cstheme="minorHAnsi"/>
        </w:rPr>
        <w:t>12.</w:t>
      </w:r>
      <w:r>
        <w:rPr>
          <w:rFonts w:asciiTheme="minorHAnsi" w:hAnsiTheme="minorHAnsi" w:cstheme="minorHAnsi"/>
        </w:rPr>
        <w:tab/>
      </w:r>
      <w:r>
        <w:rPr>
          <w:rFonts w:asciiTheme="minorHAnsi" w:hAnsiTheme="minorHAnsi" w:cstheme="minorHAnsi"/>
        </w:rPr>
        <w:t>DISPOSIÇÕES FINAIS</w:t>
      </w:r>
    </w:p>
    <w:p w14:paraId="37C5D7AB">
      <w:pPr>
        <w:widowControl w:val="0"/>
        <w:spacing w:before="120" w:after="120"/>
        <w:ind w:right="-1"/>
        <w:jc w:val="both"/>
        <w:rPr>
          <w:rFonts w:cstheme="minorHAnsi"/>
        </w:rPr>
      </w:pPr>
      <w:r>
        <w:rPr>
          <w:rFonts w:cstheme="minorHAnsi"/>
        </w:rPr>
        <w:t>12.1. As informações contidas neste Termo de Referência não serão classificadas como sigilosas.</w:t>
      </w:r>
    </w:p>
    <w:p w14:paraId="125E0293">
      <w:pPr>
        <w:shd w:val="clear" w:color="auto" w:fill="F1F1F1" w:themeFill="background1" w:themeFillShade="F2"/>
        <w:spacing w:before="120" w:after="120" w:line="240" w:lineRule="auto"/>
        <w:jc w:val="both"/>
        <w:rPr>
          <w:rFonts w:eastAsiaTheme="majorEastAsia" w:cstheme="minorHAnsi"/>
          <w:b/>
          <w:bCs/>
          <w:color w:val="000000" w:themeColor="text1"/>
          <w14:textFill>
            <w14:solidFill>
              <w14:schemeClr w14:val="tx1"/>
            </w14:solidFill>
          </w14:textFill>
        </w:rPr>
      </w:pPr>
      <w:r>
        <w:rPr>
          <w:rFonts w:eastAsiaTheme="majorEastAsia" w:cstheme="minorHAnsi"/>
          <w:b/>
          <w:bCs/>
          <w:color w:val="000000" w:themeColor="text1"/>
          <w14:textFill>
            <w14:solidFill>
              <w14:schemeClr w14:val="tx1"/>
            </w14:solidFill>
          </w14:textFill>
        </w:rPr>
        <w:t>13.  DAS PARTES INTEGRANTES DESTE TERMO</w:t>
      </w:r>
    </w:p>
    <w:p w14:paraId="6ECB259B">
      <w:pPr>
        <w:widowControl w:val="0"/>
        <w:spacing w:before="120" w:after="120" w:line="240" w:lineRule="auto"/>
        <w:jc w:val="both"/>
        <w:rPr>
          <w:rFonts w:cstheme="minorHAnsi"/>
          <w:color w:val="EE0000"/>
        </w:rPr>
      </w:pPr>
      <w:r>
        <w:rPr>
          <w:rFonts w:cstheme="minorHAnsi"/>
          <w:color w:val="EE0000"/>
        </w:rPr>
        <w:t>13.1. Integram este Termo de Referência com se aqui estivessem transcritos:</w:t>
      </w:r>
    </w:p>
    <w:p w14:paraId="06FA988D">
      <w:pPr>
        <w:widowControl w:val="0"/>
        <w:spacing w:before="120" w:after="120" w:line="240" w:lineRule="auto"/>
        <w:jc w:val="both"/>
        <w:rPr>
          <w:rFonts w:cstheme="minorHAnsi"/>
          <w:color w:val="EE0000"/>
        </w:rPr>
      </w:pPr>
      <w:r>
        <w:rPr>
          <w:rFonts w:cstheme="minorHAnsi"/>
          <w:color w:val="EE0000"/>
        </w:rPr>
        <w:t>13.1.1. Anexo TR - I – Estudo Técnico Preliminar.</w:t>
      </w:r>
    </w:p>
    <w:p w14:paraId="694CF379">
      <w:pPr>
        <w:spacing w:before="120" w:after="120" w:line="240" w:lineRule="auto"/>
        <w:ind w:right="-1"/>
        <w:contextualSpacing/>
        <w:jc w:val="both"/>
        <w:rPr>
          <w:rFonts w:cstheme="minorHAnsi"/>
        </w:rPr>
      </w:pPr>
    </w:p>
    <w:p w14:paraId="7694CED6">
      <w:pPr>
        <w:spacing w:before="120" w:after="120" w:line="240" w:lineRule="auto"/>
        <w:ind w:right="-1"/>
        <w:contextualSpacing/>
        <w:jc w:val="both"/>
        <w:rPr>
          <w:rFonts w:cstheme="minorHAnsi"/>
        </w:rPr>
      </w:pPr>
    </w:p>
    <w:p w14:paraId="1DFC1CF0">
      <w:pPr>
        <w:spacing w:before="120" w:after="120" w:line="240" w:lineRule="auto"/>
        <w:ind w:right="-1"/>
        <w:contextualSpacing/>
        <w:jc w:val="both"/>
        <w:rPr>
          <w:rFonts w:cstheme="minorHAnsi"/>
        </w:rPr>
      </w:pPr>
      <w:r>
        <w:rPr>
          <w:rFonts w:cstheme="minorHAnsi"/>
        </w:rPr>
        <w:t>Salvador/BA, 21 de maio de 2026.</w:t>
      </w:r>
    </w:p>
    <w:p w14:paraId="7788F954">
      <w:pPr>
        <w:spacing w:before="120" w:after="120" w:line="240" w:lineRule="auto"/>
        <w:ind w:right="-1"/>
        <w:contextualSpacing/>
        <w:jc w:val="both"/>
        <w:rPr>
          <w:rFonts w:cstheme="minorHAnsi"/>
        </w:rPr>
      </w:pPr>
    </w:p>
    <w:p w14:paraId="2CF4971D">
      <w:pPr>
        <w:spacing w:before="120" w:after="120" w:line="240" w:lineRule="auto"/>
        <w:ind w:right="-1"/>
        <w:contextualSpacing/>
        <w:jc w:val="both"/>
        <w:rPr>
          <w:rFonts w:cstheme="minorHAnsi"/>
        </w:rPr>
      </w:pPr>
    </w:p>
    <w:p w14:paraId="74EF95CE">
      <w:pPr>
        <w:spacing w:before="120" w:after="120" w:line="240" w:lineRule="auto"/>
        <w:ind w:right="-1"/>
        <w:contextualSpacing/>
        <w:jc w:val="both"/>
        <w:rPr>
          <w:rFonts w:cstheme="minorHAnsi"/>
        </w:rPr>
      </w:pPr>
    </w:p>
    <w:p w14:paraId="6A96A0E2">
      <w:pPr>
        <w:spacing w:before="120" w:after="120" w:line="240" w:lineRule="auto"/>
        <w:ind w:right="-1"/>
        <w:contextualSpacing/>
        <w:jc w:val="both"/>
        <w:rPr>
          <w:rFonts w:cstheme="minorHAnsi"/>
        </w:rPr>
      </w:pPr>
      <w:r>
        <w:rPr>
          <w:rFonts w:cstheme="minorHAnsi"/>
        </w:rPr>
        <w:t>Solicitado por:</w:t>
      </w:r>
    </w:p>
    <w:p w14:paraId="38A47EE1">
      <w:pPr>
        <w:spacing w:before="120" w:after="120" w:line="240" w:lineRule="auto"/>
        <w:ind w:right="-1"/>
        <w:contextualSpacing/>
        <w:jc w:val="both"/>
        <w:rPr>
          <w:rFonts w:cstheme="minorHAnsi"/>
        </w:rPr>
      </w:pPr>
    </w:p>
    <w:p w14:paraId="6F8D6D83">
      <w:pPr>
        <w:spacing w:before="120" w:after="120" w:line="240" w:lineRule="auto"/>
        <w:ind w:right="-1"/>
        <w:contextualSpacing/>
        <w:jc w:val="both"/>
        <w:rPr>
          <w:rFonts w:cstheme="minorHAnsi"/>
          <w:b/>
        </w:rPr>
      </w:pPr>
    </w:p>
    <w:p w14:paraId="6D24128B">
      <w:pPr>
        <w:spacing w:before="120" w:after="120" w:line="240" w:lineRule="auto"/>
        <w:ind w:right="-1"/>
        <w:contextualSpacing/>
        <w:jc w:val="both"/>
        <w:rPr>
          <w:rFonts w:cstheme="minorHAnsi"/>
          <w:b/>
        </w:rPr>
      </w:pPr>
    </w:p>
    <w:p w14:paraId="6FBF2C3F">
      <w:pPr>
        <w:spacing w:before="120" w:after="120" w:line="240" w:lineRule="auto"/>
        <w:ind w:right="-1"/>
        <w:contextualSpacing/>
        <w:jc w:val="both"/>
        <w:rPr>
          <w:rFonts w:cstheme="minorHAnsi"/>
          <w:b/>
        </w:rPr>
      </w:pPr>
    </w:p>
    <w:p w14:paraId="4DCADB5C">
      <w:pPr>
        <w:spacing w:before="120" w:after="120" w:line="240" w:lineRule="auto"/>
        <w:ind w:right="-1"/>
        <w:contextualSpacing/>
        <w:jc w:val="both"/>
        <w:rPr>
          <w:rFonts w:cstheme="minorHAnsi"/>
          <w:b/>
        </w:rPr>
      </w:pPr>
      <w:r>
        <w:rPr>
          <w:rFonts w:cstheme="minorHAnsi"/>
          <w:b/>
        </w:rPr>
        <w:t>Mayara Vasconcelos</w:t>
      </w:r>
    </w:p>
    <w:p w14:paraId="165E4B80">
      <w:pPr>
        <w:spacing w:before="120" w:after="120" w:line="240" w:lineRule="auto"/>
        <w:ind w:right="-1"/>
        <w:contextualSpacing/>
        <w:jc w:val="both"/>
        <w:rPr>
          <w:rFonts w:cstheme="minorHAnsi"/>
          <w:bCs/>
        </w:rPr>
      </w:pPr>
      <w:r>
        <w:rPr>
          <w:rFonts w:cstheme="minorHAnsi"/>
          <w:bCs/>
        </w:rPr>
        <w:t>Coordenadora de OPME/HAN</w:t>
      </w:r>
    </w:p>
    <w:p w14:paraId="1A8E0AB6">
      <w:pPr>
        <w:spacing w:before="120" w:after="120" w:line="240" w:lineRule="auto"/>
        <w:ind w:right="-1"/>
        <w:contextualSpacing/>
        <w:jc w:val="both"/>
        <w:rPr>
          <w:rFonts w:cstheme="minorHAnsi"/>
          <w:b/>
        </w:rPr>
      </w:pPr>
    </w:p>
    <w:p w14:paraId="115406C2">
      <w:pPr>
        <w:spacing w:before="120" w:after="120" w:line="240" w:lineRule="auto"/>
        <w:ind w:right="-1"/>
        <w:contextualSpacing/>
        <w:jc w:val="both"/>
        <w:rPr>
          <w:rFonts w:cstheme="minorHAnsi"/>
          <w:b/>
        </w:rPr>
      </w:pPr>
    </w:p>
    <w:p w14:paraId="5413CCD4">
      <w:pPr>
        <w:spacing w:before="120" w:after="120" w:line="240" w:lineRule="auto"/>
        <w:ind w:right="-1"/>
        <w:contextualSpacing/>
        <w:jc w:val="both"/>
        <w:rPr>
          <w:rFonts w:cstheme="minorHAnsi"/>
          <w:b/>
        </w:rPr>
      </w:pPr>
    </w:p>
    <w:p w14:paraId="7E244CE1">
      <w:pPr>
        <w:spacing w:before="120" w:after="120" w:line="240" w:lineRule="auto"/>
        <w:ind w:right="-1"/>
        <w:contextualSpacing/>
        <w:jc w:val="both"/>
        <w:rPr>
          <w:rFonts w:cstheme="minorHAnsi"/>
          <w:b/>
        </w:rPr>
      </w:pPr>
    </w:p>
    <w:p w14:paraId="5D13CF0D">
      <w:pPr>
        <w:spacing w:before="120" w:after="120" w:line="240" w:lineRule="auto"/>
        <w:ind w:right="-1"/>
        <w:contextualSpacing/>
        <w:jc w:val="both"/>
        <w:rPr>
          <w:rFonts w:cstheme="minorHAnsi"/>
          <w:b/>
        </w:rPr>
      </w:pPr>
      <w:r>
        <w:rPr>
          <w:rFonts w:cstheme="minorHAnsi"/>
          <w:b/>
        </w:rPr>
        <w:t>Jefferson Oliveira</w:t>
      </w:r>
    </w:p>
    <w:p w14:paraId="6BED1501">
      <w:pPr>
        <w:spacing w:before="120" w:after="120" w:line="240" w:lineRule="auto"/>
        <w:ind w:right="-1"/>
        <w:contextualSpacing/>
        <w:jc w:val="both"/>
        <w:rPr>
          <w:rFonts w:cstheme="minorHAnsi"/>
          <w:bCs/>
        </w:rPr>
      </w:pPr>
      <w:r>
        <w:rPr>
          <w:rFonts w:cstheme="minorHAnsi"/>
          <w:bCs/>
        </w:rPr>
        <w:t>Gerente de Suprimentos/HAN</w:t>
      </w:r>
    </w:p>
    <w:p w14:paraId="71DBB3DC">
      <w:pPr>
        <w:spacing w:before="120" w:after="120" w:line="240" w:lineRule="auto"/>
        <w:ind w:right="-1"/>
        <w:contextualSpacing/>
        <w:jc w:val="both"/>
        <w:rPr>
          <w:rFonts w:cstheme="minorHAnsi"/>
          <w:b/>
        </w:rPr>
      </w:pPr>
    </w:p>
    <w:p w14:paraId="0E2024F9">
      <w:pPr>
        <w:tabs>
          <w:tab w:val="left" w:pos="0"/>
        </w:tabs>
        <w:spacing w:before="120" w:after="120" w:line="240" w:lineRule="auto"/>
        <w:ind w:right="-1"/>
        <w:contextualSpacing/>
        <w:jc w:val="center"/>
        <w:rPr>
          <w:rFonts w:cstheme="minorHAnsi"/>
          <w:b/>
        </w:rPr>
      </w:pPr>
    </w:p>
    <w:p w14:paraId="01DE8C0F">
      <w:pPr>
        <w:spacing w:before="120" w:after="120" w:line="240" w:lineRule="auto"/>
        <w:ind w:right="-1"/>
        <w:contextualSpacing/>
        <w:jc w:val="right"/>
        <w:rPr>
          <w:rFonts w:eastAsia="Calibri" w:cstheme="minorHAnsi"/>
        </w:rPr>
      </w:pPr>
      <w:r>
        <w:rPr>
          <w:rFonts w:eastAsia="Calibri" w:cstheme="minorHAnsi"/>
          <w:iCs/>
        </w:rPr>
        <w:t>Aprovo o presente termo de referência</w:t>
      </w:r>
    </w:p>
    <w:p w14:paraId="24AC909B">
      <w:pPr>
        <w:autoSpaceDE w:val="0"/>
        <w:autoSpaceDN w:val="0"/>
        <w:adjustRightInd w:val="0"/>
        <w:spacing w:before="120" w:after="120" w:line="240" w:lineRule="auto"/>
        <w:ind w:right="-1"/>
        <w:contextualSpacing/>
        <w:jc w:val="right"/>
        <w:rPr>
          <w:rFonts w:eastAsia="Calibri" w:cstheme="minorHAnsi"/>
          <w:b/>
          <w:bCs/>
          <w:iCs/>
        </w:rPr>
      </w:pPr>
      <w:r>
        <w:rPr>
          <w:rFonts w:eastAsia="Calibri" w:cstheme="minorHAnsi"/>
          <w:iCs/>
        </w:rPr>
        <w:t>E autorizo a realização da licitação</w:t>
      </w:r>
      <w:r>
        <w:rPr>
          <w:rFonts w:eastAsia="Calibri" w:cstheme="minorHAnsi"/>
          <w:b/>
          <w:bCs/>
          <w:iCs/>
        </w:rPr>
        <w:t>.</w:t>
      </w:r>
    </w:p>
    <w:p w14:paraId="3C1699F6">
      <w:pPr>
        <w:autoSpaceDE w:val="0"/>
        <w:autoSpaceDN w:val="0"/>
        <w:adjustRightInd w:val="0"/>
        <w:spacing w:before="120" w:after="120" w:line="240" w:lineRule="auto"/>
        <w:ind w:right="-1"/>
        <w:contextualSpacing/>
        <w:jc w:val="right"/>
        <w:rPr>
          <w:rFonts w:eastAsia="Calibri" w:cstheme="minorHAnsi"/>
          <w:b/>
          <w:bCs/>
          <w:iCs/>
        </w:rPr>
      </w:pPr>
    </w:p>
    <w:p w14:paraId="0FC96EB4">
      <w:pPr>
        <w:autoSpaceDE w:val="0"/>
        <w:autoSpaceDN w:val="0"/>
        <w:adjustRightInd w:val="0"/>
        <w:spacing w:before="120" w:after="120" w:line="240" w:lineRule="auto"/>
        <w:ind w:right="-1"/>
        <w:contextualSpacing/>
        <w:jc w:val="right"/>
        <w:rPr>
          <w:rFonts w:eastAsia="Calibri" w:cstheme="minorHAnsi"/>
          <w:b/>
          <w:bCs/>
          <w:iCs/>
        </w:rPr>
      </w:pPr>
    </w:p>
    <w:p w14:paraId="1BEA74EB">
      <w:pPr>
        <w:autoSpaceDE w:val="0"/>
        <w:autoSpaceDN w:val="0"/>
        <w:adjustRightInd w:val="0"/>
        <w:spacing w:before="120" w:after="120" w:line="240" w:lineRule="auto"/>
        <w:ind w:right="-1"/>
        <w:contextualSpacing/>
        <w:jc w:val="right"/>
        <w:rPr>
          <w:rFonts w:eastAsia="Calibri" w:cstheme="minorHAnsi"/>
          <w:b/>
          <w:bCs/>
          <w:iCs/>
        </w:rPr>
      </w:pPr>
    </w:p>
    <w:p w14:paraId="03382D56">
      <w:pPr>
        <w:autoSpaceDE w:val="0"/>
        <w:autoSpaceDN w:val="0"/>
        <w:adjustRightInd w:val="0"/>
        <w:spacing w:before="120" w:after="120" w:line="240" w:lineRule="auto"/>
        <w:ind w:right="-1"/>
        <w:contextualSpacing/>
        <w:jc w:val="right"/>
        <w:rPr>
          <w:rFonts w:eastAsia="Calibri" w:cstheme="minorHAnsi"/>
          <w:b/>
          <w:bCs/>
          <w:iCs/>
        </w:rPr>
      </w:pPr>
      <w:r>
        <w:rPr>
          <w:rFonts w:eastAsia="Calibri" w:cstheme="minorHAnsi"/>
          <w:b/>
          <w:bCs/>
          <w:iCs/>
        </w:rPr>
        <w:t>Dr. Luiz Carlos Passos</w:t>
      </w:r>
    </w:p>
    <w:p w14:paraId="37D63E25">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Diretor Geral / HAN</w:t>
      </w:r>
    </w:p>
    <w:p w14:paraId="6E8800D3">
      <w:pPr>
        <w:spacing w:before="120" w:after="120" w:line="240" w:lineRule="auto"/>
        <w:ind w:right="-1"/>
        <w:contextualSpacing/>
        <w:jc w:val="right"/>
        <w:rPr>
          <w:rFonts w:eastAsia="Calibri" w:cstheme="minorHAnsi"/>
          <w:b/>
          <w:bCs/>
        </w:rPr>
      </w:pPr>
    </w:p>
    <w:p w14:paraId="7E0E3A58">
      <w:pPr>
        <w:spacing w:after="0" w:line="240" w:lineRule="auto"/>
        <w:ind w:right="140"/>
        <w:rPr>
          <w:rFonts w:cstheme="minorHAnsi"/>
          <w:b/>
          <w:bCs/>
        </w:rPr>
      </w:pPr>
    </w:p>
    <w:p w14:paraId="301BC680">
      <w:pPr>
        <w:spacing w:after="0" w:line="240" w:lineRule="auto"/>
        <w:ind w:right="140"/>
        <w:rPr>
          <w:rFonts w:cstheme="minorHAnsi"/>
          <w:b/>
          <w:bCs/>
        </w:rPr>
      </w:pPr>
    </w:p>
    <w:p w14:paraId="0273DA52">
      <w:pPr>
        <w:spacing w:after="0" w:line="240" w:lineRule="auto"/>
        <w:ind w:right="140"/>
        <w:rPr>
          <w:rFonts w:cstheme="minorHAnsi"/>
          <w:b/>
          <w:bCs/>
        </w:rPr>
      </w:pPr>
    </w:p>
    <w:p w14:paraId="4AF3A735">
      <w:pPr>
        <w:spacing w:after="0" w:line="240" w:lineRule="auto"/>
        <w:ind w:right="140"/>
        <w:rPr>
          <w:rFonts w:cstheme="minorHAnsi"/>
          <w:b/>
          <w:bCs/>
        </w:rPr>
      </w:pPr>
    </w:p>
    <w:p w14:paraId="42B7B20F">
      <w:pPr>
        <w:spacing w:after="0" w:line="240" w:lineRule="auto"/>
        <w:ind w:right="140"/>
        <w:rPr>
          <w:rFonts w:cstheme="minorHAnsi"/>
          <w:b/>
          <w:bCs/>
        </w:rPr>
      </w:pPr>
    </w:p>
    <w:p w14:paraId="27079E6F">
      <w:pPr>
        <w:spacing w:after="0" w:line="240" w:lineRule="auto"/>
        <w:ind w:right="140"/>
        <w:rPr>
          <w:rFonts w:cstheme="minorHAnsi"/>
          <w:b/>
          <w:bCs/>
        </w:rPr>
      </w:pPr>
    </w:p>
    <w:p w14:paraId="0FE00930">
      <w:pPr>
        <w:spacing w:after="0" w:line="240" w:lineRule="auto"/>
        <w:ind w:right="140"/>
        <w:rPr>
          <w:rFonts w:cstheme="minorHAnsi"/>
          <w:b/>
          <w:bCs/>
        </w:rPr>
      </w:pPr>
    </w:p>
    <w:p w14:paraId="61E15983">
      <w:pPr>
        <w:spacing w:after="0" w:line="240" w:lineRule="auto"/>
        <w:ind w:right="140"/>
        <w:rPr>
          <w:rFonts w:cstheme="minorHAnsi"/>
          <w:b/>
          <w:bCs/>
        </w:rPr>
      </w:pPr>
    </w:p>
    <w:p w14:paraId="21B87A8F">
      <w:pPr>
        <w:spacing w:after="0" w:line="240" w:lineRule="auto"/>
        <w:ind w:right="140"/>
        <w:rPr>
          <w:rFonts w:cstheme="minorHAnsi"/>
          <w:b/>
          <w:bCs/>
        </w:rPr>
      </w:pPr>
    </w:p>
    <w:p w14:paraId="3F04C979">
      <w:pPr>
        <w:spacing w:after="0" w:line="240" w:lineRule="auto"/>
        <w:ind w:right="140"/>
        <w:rPr>
          <w:rFonts w:cstheme="minorHAnsi"/>
          <w:b/>
          <w:bCs/>
        </w:rPr>
      </w:pPr>
    </w:p>
    <w:p w14:paraId="5405BCB3">
      <w:pPr>
        <w:spacing w:after="0" w:line="240" w:lineRule="auto"/>
        <w:ind w:right="140"/>
        <w:rPr>
          <w:rFonts w:cstheme="minorHAnsi"/>
          <w:b/>
          <w:bCs/>
        </w:rPr>
      </w:pPr>
    </w:p>
    <w:p w14:paraId="19354B1D">
      <w:pPr>
        <w:spacing w:after="0" w:line="240" w:lineRule="auto"/>
        <w:ind w:right="140"/>
        <w:jc w:val="center"/>
        <w:rPr>
          <w:rFonts w:cstheme="minorHAnsi"/>
          <w:b/>
          <w:bCs/>
        </w:rPr>
      </w:pPr>
    </w:p>
    <w:p w14:paraId="59758083">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66EB4C7B">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7E4D2FF2">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48F1FDE9">
      <w:pPr>
        <w:ind w:left="357"/>
        <w:jc w:val="center"/>
        <w:rPr>
          <w:rFonts w:cstheme="minorHAnsi"/>
          <w:b/>
          <w:i/>
          <w:iCs/>
          <w:color w:val="FF0000"/>
        </w:rPr>
      </w:pPr>
      <w:bookmarkStart w:id="125" w:name="_Hlk175669327"/>
    </w:p>
    <w:p w14:paraId="69B730C2">
      <w:pPr>
        <w:pStyle w:val="72"/>
        <w:keepNext w:val="0"/>
        <w:keepLines w:val="0"/>
        <w:numPr>
          <w:ilvl w:val="0"/>
          <w:numId w:val="16"/>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15680398">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25"/>
    <w:p w14:paraId="5B259674">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6C4D0704">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11C10358">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08D8C4E7">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0505D72C">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4A44DA76">
      <w:pPr>
        <w:pStyle w:val="159"/>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19A47C2D">
      <w:pPr>
        <w:pStyle w:val="159"/>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16789894">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697B4568">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41653FE9">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05E72367">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52D5B051">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A89F6E9">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4FCEF070">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669D302F">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552D23EA">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20506486">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3A35C16B">
      <w:pPr>
        <w:pStyle w:val="51"/>
        <w:numPr>
          <w:ilvl w:val="3"/>
          <w:numId w:val="17"/>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0E51FC15">
      <w:pPr>
        <w:pStyle w:val="50"/>
        <w:numPr>
          <w:ilvl w:val="2"/>
          <w:numId w:val="17"/>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5083F115">
      <w:pPr>
        <w:pStyle w:val="154"/>
        <w:numPr>
          <w:ilvl w:val="1"/>
          <w:numId w:val="17"/>
        </w:numPr>
        <w:ind w:left="0" w:firstLine="0"/>
        <w:rPr>
          <w:rFonts w:asciiTheme="minorHAnsi" w:hAnsiTheme="minorHAnsi" w:cstheme="minorHAnsi"/>
          <w:sz w:val="22"/>
          <w:szCs w:val="22"/>
        </w:rPr>
      </w:pPr>
      <w:bookmarkStart w:id="126" w:name="_Hlk114499841"/>
      <w:bookmarkEnd w:id="126"/>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2BFCA2F">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0DF5CADF">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31593250">
      <w:pPr>
        <w:pStyle w:val="50"/>
        <w:numPr>
          <w:ilvl w:val="2"/>
          <w:numId w:val="17"/>
        </w:numPr>
        <w:tabs>
          <w:tab w:val="clear" w:pos="360"/>
        </w:tabs>
        <w:ind w:left="284" w:firstLine="0"/>
        <w:rPr>
          <w:rFonts w:eastAsia="Arial" w:asciiTheme="minorHAnsi" w:hAnsiTheme="minorHAnsi" w:cstheme="minorHAnsi"/>
        </w:rPr>
      </w:pPr>
      <w:bookmarkStart w:id="127"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7"/>
    <w:p w14:paraId="389F373A">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523ADF0A">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4A98FEDC">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394BDC35">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19F2C6AD">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EA96D39">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2677C37D">
      <w:pPr>
        <w:pStyle w:val="51"/>
        <w:numPr>
          <w:ilvl w:val="3"/>
          <w:numId w:val="17"/>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68E4A48B">
      <w:pPr>
        <w:pStyle w:val="51"/>
        <w:numPr>
          <w:ilvl w:val="3"/>
          <w:numId w:val="17"/>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6EE11FE0">
      <w:pPr>
        <w:pStyle w:val="51"/>
        <w:numPr>
          <w:ilvl w:val="3"/>
          <w:numId w:val="17"/>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49909072">
      <w:pPr>
        <w:pStyle w:val="51"/>
        <w:numPr>
          <w:ilvl w:val="3"/>
          <w:numId w:val="17"/>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565C8C6B">
      <w:pPr>
        <w:pStyle w:val="51"/>
        <w:numPr>
          <w:ilvl w:val="3"/>
          <w:numId w:val="17"/>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245C09A1">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23CA619A">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3393E080">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475C9233">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216AEBD7">
      <w:pPr>
        <w:pStyle w:val="50"/>
        <w:numPr>
          <w:ilvl w:val="2"/>
          <w:numId w:val="17"/>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430D46B3">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479F5894">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64DB420A">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31BCBE1">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5AC0C154">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03199F10">
      <w:pPr>
        <w:pStyle w:val="159"/>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3DA075D5">
      <w:pPr>
        <w:pStyle w:val="159"/>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2D13EC4F">
      <w:pPr>
        <w:pStyle w:val="159"/>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2956DF2E">
      <w:pPr>
        <w:pStyle w:val="161"/>
        <w:numPr>
          <w:ilvl w:val="2"/>
          <w:numId w:val="17"/>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7A974A90">
      <w:pPr>
        <w:pStyle w:val="161"/>
        <w:numPr>
          <w:ilvl w:val="2"/>
          <w:numId w:val="17"/>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09ECC2FA">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C757724">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15ED5E2D">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7209839A">
      <w:pPr>
        <w:pStyle w:val="51"/>
        <w:numPr>
          <w:ilvl w:val="3"/>
          <w:numId w:val="17"/>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69A17B78">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64B2AB04">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136C50D6">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5B9DAF0C">
      <w:pPr>
        <w:pStyle w:val="50"/>
        <w:numPr>
          <w:ilvl w:val="2"/>
          <w:numId w:val="17"/>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357C8E53">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194324A8">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951BBA1">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383169F6">
      <w:pPr>
        <w:pStyle w:val="154"/>
        <w:numPr>
          <w:ilvl w:val="1"/>
          <w:numId w:val="17"/>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0F81C59E">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567D290A">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479DDBB1">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54BE5873">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52415B0D">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FE78068">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15AAA16A">
      <w:pPr>
        <w:pStyle w:val="72"/>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710F18DA">
      <w:pPr>
        <w:pStyle w:val="154"/>
        <w:numPr>
          <w:ilvl w:val="1"/>
          <w:numId w:val="17"/>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166A9B6D">
      <w:pPr>
        <w:rPr>
          <w:rFonts w:eastAsia="Times New Roman" w:cstheme="minorHAnsi"/>
          <w:color w:val="000080"/>
          <w:u w:val="single"/>
        </w:rPr>
      </w:pPr>
      <w:r>
        <w:rPr>
          <w:rFonts w:eastAsia="Times New Roman" w:cstheme="minorHAnsi"/>
          <w:color w:val="000080"/>
          <w:u w:val="single"/>
        </w:rPr>
        <w:br w:type="page"/>
      </w:r>
    </w:p>
    <w:p w14:paraId="430C8C65">
      <w:pPr>
        <w:jc w:val="center"/>
        <w:outlineLvl w:val="0"/>
        <w:rPr>
          <w:rFonts w:cstheme="minorHAnsi"/>
          <w:b/>
        </w:rPr>
      </w:pPr>
      <w:r>
        <w:rPr>
          <w:rFonts w:cstheme="minorHAnsi"/>
          <w:b/>
        </w:rPr>
        <w:t>ANEXO III</w:t>
      </w:r>
    </w:p>
    <w:p w14:paraId="7EC57847">
      <w:pPr>
        <w:jc w:val="center"/>
        <w:outlineLvl w:val="0"/>
        <w:rPr>
          <w:rFonts w:cstheme="minorHAnsi"/>
          <w:b/>
        </w:rPr>
      </w:pPr>
    </w:p>
    <w:p w14:paraId="04462F83">
      <w:pPr>
        <w:spacing w:after="360"/>
        <w:jc w:val="center"/>
        <w:rPr>
          <w:rFonts w:cstheme="minorHAnsi"/>
          <w:b/>
        </w:rPr>
      </w:pPr>
      <w:r>
        <w:rPr>
          <w:rFonts w:cstheme="minorHAnsi"/>
          <w:b/>
        </w:rPr>
        <w:t>TERMO DE CIÊNCIA E CONCORDÂNCIA</w:t>
      </w:r>
    </w:p>
    <w:p w14:paraId="7E060415">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90051/2026, bem como que se responsabiliza, sob as penas da Lei, pela veracidade e legitimidade das informações e documentos apresentados durante o processo de contratação.</w:t>
      </w:r>
    </w:p>
    <w:p w14:paraId="71706715">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1D3491A4">
      <w:pPr>
        <w:spacing w:before="480"/>
        <w:jc w:val="center"/>
        <w:rPr>
          <w:rFonts w:cstheme="minorHAnsi"/>
        </w:rPr>
      </w:pPr>
      <w:r>
        <w:rPr>
          <w:rFonts w:cstheme="minorHAnsi"/>
        </w:rPr>
        <w:t>__________________________________________</w:t>
      </w:r>
    </w:p>
    <w:p w14:paraId="382D61EA">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144667D4">
      <w:pPr>
        <w:spacing w:before="120" w:after="120" w:line="360" w:lineRule="auto"/>
        <w:ind w:left="284"/>
        <w:jc w:val="center"/>
        <w:rPr>
          <w:rFonts w:cstheme="minorHAnsi"/>
        </w:rPr>
      </w:pPr>
    </w:p>
    <w:p w14:paraId="1B2133BF">
      <w:pPr>
        <w:spacing w:before="120" w:after="120" w:line="360" w:lineRule="auto"/>
        <w:ind w:left="284"/>
        <w:jc w:val="center"/>
        <w:rPr>
          <w:rFonts w:cstheme="minorHAnsi"/>
        </w:rPr>
      </w:pPr>
    </w:p>
    <w:p w14:paraId="03E8FED7">
      <w:pPr>
        <w:spacing w:before="120" w:after="120" w:line="360" w:lineRule="auto"/>
        <w:ind w:left="284"/>
        <w:jc w:val="center"/>
        <w:rPr>
          <w:rFonts w:cstheme="minorHAnsi"/>
        </w:rPr>
      </w:pPr>
    </w:p>
    <w:p w14:paraId="4759CF52">
      <w:pPr>
        <w:spacing w:before="120" w:after="120" w:line="360" w:lineRule="auto"/>
        <w:ind w:left="284"/>
        <w:jc w:val="center"/>
        <w:rPr>
          <w:rFonts w:cstheme="minorHAnsi"/>
        </w:rPr>
      </w:pPr>
    </w:p>
    <w:p w14:paraId="0420B354">
      <w:pPr>
        <w:spacing w:before="120" w:after="120" w:line="360" w:lineRule="auto"/>
        <w:ind w:left="284"/>
        <w:jc w:val="center"/>
        <w:rPr>
          <w:rFonts w:cstheme="minorHAnsi"/>
        </w:rPr>
      </w:pPr>
    </w:p>
    <w:p w14:paraId="2043BB39">
      <w:pPr>
        <w:spacing w:before="120" w:after="120" w:line="360" w:lineRule="auto"/>
        <w:ind w:left="284"/>
        <w:jc w:val="center"/>
        <w:rPr>
          <w:rFonts w:cstheme="minorHAnsi"/>
        </w:rPr>
      </w:pPr>
    </w:p>
    <w:p w14:paraId="172D36E5">
      <w:pPr>
        <w:spacing w:before="120" w:after="120" w:line="360" w:lineRule="auto"/>
        <w:ind w:left="284"/>
        <w:jc w:val="center"/>
        <w:rPr>
          <w:rFonts w:cstheme="minorHAnsi"/>
        </w:rPr>
      </w:pPr>
    </w:p>
    <w:p w14:paraId="4ABC61C5">
      <w:pPr>
        <w:spacing w:before="120" w:after="120" w:line="360" w:lineRule="auto"/>
        <w:ind w:left="284"/>
        <w:jc w:val="center"/>
        <w:rPr>
          <w:rFonts w:cstheme="minorHAnsi"/>
        </w:rPr>
      </w:pPr>
    </w:p>
    <w:p w14:paraId="03D71D03">
      <w:pPr>
        <w:spacing w:before="120" w:after="120" w:line="360" w:lineRule="auto"/>
        <w:ind w:left="284"/>
        <w:jc w:val="center"/>
        <w:rPr>
          <w:rFonts w:cstheme="minorHAnsi"/>
        </w:rPr>
      </w:pPr>
    </w:p>
    <w:p w14:paraId="47D7B6F7">
      <w:pPr>
        <w:spacing w:before="120" w:after="120" w:line="360" w:lineRule="auto"/>
        <w:ind w:left="284"/>
        <w:jc w:val="center"/>
        <w:rPr>
          <w:rFonts w:cstheme="minorHAnsi"/>
        </w:rPr>
      </w:pPr>
    </w:p>
    <w:p w14:paraId="6F0046D6">
      <w:pPr>
        <w:spacing w:before="120" w:after="120" w:line="360" w:lineRule="auto"/>
        <w:ind w:left="284"/>
        <w:jc w:val="center"/>
        <w:rPr>
          <w:rFonts w:cstheme="minorHAnsi"/>
        </w:rPr>
      </w:pPr>
    </w:p>
    <w:p w14:paraId="162AA1A8">
      <w:pPr>
        <w:spacing w:before="120" w:after="120" w:line="360" w:lineRule="auto"/>
        <w:ind w:left="284"/>
        <w:jc w:val="center"/>
        <w:rPr>
          <w:rFonts w:cstheme="minorHAnsi"/>
        </w:rPr>
      </w:pPr>
    </w:p>
    <w:p w14:paraId="2D386C3D">
      <w:pPr>
        <w:spacing w:before="120" w:after="120" w:line="360" w:lineRule="auto"/>
        <w:ind w:left="284"/>
        <w:jc w:val="center"/>
        <w:rPr>
          <w:rFonts w:cstheme="minorHAnsi"/>
        </w:rPr>
      </w:pPr>
    </w:p>
    <w:p w14:paraId="4F9F6AEB">
      <w:pPr>
        <w:spacing w:line="360" w:lineRule="auto"/>
        <w:ind w:left="284"/>
        <w:jc w:val="center"/>
        <w:rPr>
          <w:rFonts w:cstheme="minorHAnsi"/>
          <w:b/>
          <w:u w:val="single"/>
        </w:rPr>
      </w:pPr>
    </w:p>
    <w:p w14:paraId="32F92CD3">
      <w:pPr>
        <w:spacing w:line="360" w:lineRule="auto"/>
        <w:ind w:left="284"/>
        <w:jc w:val="center"/>
        <w:rPr>
          <w:rFonts w:cstheme="minorHAnsi"/>
          <w:b/>
          <w:u w:val="single"/>
        </w:rPr>
      </w:pPr>
    </w:p>
    <w:p w14:paraId="295F1E20">
      <w:pPr>
        <w:spacing w:line="360" w:lineRule="auto"/>
        <w:ind w:left="284"/>
        <w:jc w:val="center"/>
        <w:rPr>
          <w:rFonts w:cstheme="minorHAnsi"/>
          <w:b/>
          <w:u w:val="single"/>
        </w:rPr>
      </w:pPr>
      <w:r>
        <w:rPr>
          <w:rFonts w:cstheme="minorHAnsi"/>
          <w:b/>
          <w:u w:val="single"/>
        </w:rPr>
        <w:t>ANEXO IV</w:t>
      </w:r>
    </w:p>
    <w:p w14:paraId="3AE6D3AA">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5B80B0FB">
      <w:pPr>
        <w:spacing w:line="360" w:lineRule="auto"/>
        <w:ind w:left="284"/>
        <w:jc w:val="center"/>
        <w:rPr>
          <w:rFonts w:cstheme="minorHAnsi"/>
          <w:b/>
          <w:u w:val="single"/>
        </w:rPr>
      </w:pPr>
    </w:p>
    <w:p w14:paraId="786751BA">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23066.020312/2026-18</w:t>
      </w:r>
    </w:p>
    <w:p w14:paraId="4C17A655">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1780092C">
      <w:pPr>
        <w:spacing w:line="360" w:lineRule="auto"/>
        <w:ind w:left="284"/>
        <w:jc w:val="center"/>
        <w:rPr>
          <w:rFonts w:cstheme="minorHAnsi"/>
          <w:b/>
        </w:rPr>
      </w:pPr>
    </w:p>
    <w:p w14:paraId="107EFBDA">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90051/2026</w:t>
      </w:r>
      <w:r>
        <w:rPr>
          <w:rFonts w:cstheme="minorHAnsi"/>
        </w:rPr>
        <w:t xml:space="preserve">, publicada no ...... de ...../...../200....., processo administrativo </w:t>
      </w:r>
      <w:r>
        <w:rPr>
          <w:rFonts w:cstheme="minorHAnsi"/>
          <w:b/>
        </w:rPr>
        <w:t xml:space="preserve">nº </w:t>
      </w:r>
      <w:r>
        <w:rPr>
          <w:rFonts w:cstheme="minorHAnsi"/>
          <w:b/>
          <w:color w:val="FF0000"/>
        </w:rPr>
        <w:t>23066.020312/2026-18</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12ECD006">
      <w:pPr>
        <w:spacing w:line="360" w:lineRule="auto"/>
        <w:ind w:left="284"/>
        <w:jc w:val="both"/>
        <w:rPr>
          <w:rFonts w:cstheme="minorHAnsi"/>
        </w:rPr>
      </w:pPr>
    </w:p>
    <w:p w14:paraId="35C59FBB">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011C0AAD">
      <w:pPr>
        <w:widowControl w:val="0"/>
        <w:numPr>
          <w:ilvl w:val="1"/>
          <w:numId w:val="19"/>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OPME,</w:t>
      </w:r>
      <w:r>
        <w:rPr>
          <w:rFonts w:cstheme="minorHAnsi"/>
          <w:bCs/>
          <w:color w:val="FF0000"/>
          <w:lang w:eastAsia="ar-SA"/>
        </w:rPr>
        <w:t xml:space="preserve">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90051/2026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68371E17">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7208F7DB">
      <w:pPr>
        <w:widowControl w:val="0"/>
        <w:numPr>
          <w:ilvl w:val="1"/>
          <w:numId w:val="18"/>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4D91031E">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7D9CD255">
            <w:pPr>
              <w:widowControl w:val="0"/>
              <w:autoSpaceDE w:val="0"/>
              <w:autoSpaceDN w:val="0"/>
              <w:adjustRightInd w:val="0"/>
              <w:ind w:right="-28"/>
              <w:jc w:val="center"/>
              <w:rPr>
                <w:rFonts w:cstheme="minorHAnsi"/>
              </w:rPr>
            </w:pPr>
            <w:r>
              <w:rPr>
                <w:rFonts w:cstheme="minorHAnsi"/>
              </w:rPr>
              <w:t>Item</w:t>
            </w:r>
          </w:p>
          <w:p w14:paraId="2510BE88">
            <w:pPr>
              <w:widowControl w:val="0"/>
              <w:autoSpaceDE w:val="0"/>
              <w:autoSpaceDN w:val="0"/>
              <w:adjustRightInd w:val="0"/>
              <w:ind w:right="-28"/>
              <w:jc w:val="center"/>
              <w:rPr>
                <w:rFonts w:cstheme="minorHAnsi"/>
              </w:rPr>
            </w:pPr>
            <w:r>
              <w:rPr>
                <w:rFonts w:cstheme="minorHAnsi"/>
              </w:rPr>
              <w:t>do</w:t>
            </w:r>
          </w:p>
          <w:p w14:paraId="7766BE66">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65F65206">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43AC243B">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05A6BAA0">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6D590F3D">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4C5D827E">
            <w:pPr>
              <w:widowControl w:val="0"/>
              <w:autoSpaceDE w:val="0"/>
              <w:autoSpaceDN w:val="0"/>
              <w:adjustRightInd w:val="0"/>
              <w:ind w:right="-28"/>
              <w:jc w:val="center"/>
              <w:rPr>
                <w:rFonts w:cstheme="minorHAnsi"/>
              </w:rPr>
            </w:pPr>
            <w:r>
              <w:rPr>
                <w:rFonts w:cstheme="minorHAnsi"/>
              </w:rPr>
              <w:t xml:space="preserve">Marca </w:t>
            </w:r>
          </w:p>
          <w:p w14:paraId="4B1FFB5B">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50C78110">
            <w:pPr>
              <w:widowControl w:val="0"/>
              <w:autoSpaceDE w:val="0"/>
              <w:autoSpaceDN w:val="0"/>
              <w:adjustRightInd w:val="0"/>
              <w:ind w:right="-28"/>
              <w:jc w:val="center"/>
              <w:rPr>
                <w:rFonts w:cstheme="minorHAnsi"/>
              </w:rPr>
            </w:pPr>
            <w:r>
              <w:rPr>
                <w:rFonts w:cstheme="minorHAnsi"/>
              </w:rPr>
              <w:t>Modelo</w:t>
            </w:r>
          </w:p>
          <w:p w14:paraId="381036F1">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1256570D">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1B177C13">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5F28E0C4">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36DF4A7B">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2C327F78">
            <w:pPr>
              <w:widowControl w:val="0"/>
              <w:autoSpaceDE w:val="0"/>
              <w:autoSpaceDN w:val="0"/>
              <w:adjustRightInd w:val="0"/>
              <w:ind w:right="-28"/>
              <w:jc w:val="center"/>
              <w:rPr>
                <w:rFonts w:cstheme="minorHAnsi"/>
              </w:rPr>
            </w:pPr>
            <w:r>
              <w:rPr>
                <w:rFonts w:cstheme="minorHAnsi"/>
              </w:rPr>
              <w:t>Prazo garantia ou validade</w:t>
            </w:r>
          </w:p>
        </w:tc>
      </w:tr>
      <w:tr w14:paraId="2C29CFCE">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170A690C">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673CDC32">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4A50B5DD">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7031E23B">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188CA7EB">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776118DF">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4619046F">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10B4A866">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2D1A2904">
            <w:pPr>
              <w:widowControl w:val="0"/>
              <w:autoSpaceDE w:val="0"/>
              <w:autoSpaceDN w:val="0"/>
              <w:adjustRightInd w:val="0"/>
              <w:spacing w:line="360" w:lineRule="auto"/>
              <w:ind w:right="-30"/>
              <w:jc w:val="both"/>
              <w:rPr>
                <w:rFonts w:cstheme="minorHAnsi"/>
              </w:rPr>
            </w:pPr>
          </w:p>
        </w:tc>
      </w:tr>
    </w:tbl>
    <w:p w14:paraId="20CBBE5E">
      <w:pPr>
        <w:widowControl w:val="0"/>
        <w:numPr>
          <w:ilvl w:val="1"/>
          <w:numId w:val="18"/>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774A7C8D">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1887CA47">
      <w:pPr>
        <w:pStyle w:val="49"/>
        <w:widowControl w:val="0"/>
        <w:numPr>
          <w:ilvl w:val="1"/>
          <w:numId w:val="20"/>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7B85B7ED">
      <w:pPr>
        <w:pStyle w:val="49"/>
        <w:widowControl w:val="0"/>
        <w:numPr>
          <w:ilvl w:val="1"/>
          <w:numId w:val="20"/>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36C834E7">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3E77B4CB">
      <w:pPr>
        <w:pStyle w:val="49"/>
        <w:widowControl w:val="0"/>
        <w:numPr>
          <w:ilvl w:val="1"/>
          <w:numId w:val="18"/>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109E5C95">
      <w:pPr>
        <w:pStyle w:val="53"/>
        <w:numPr>
          <w:ilvl w:val="2"/>
          <w:numId w:val="18"/>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0B3E8FEF">
      <w:pPr>
        <w:pStyle w:val="53"/>
        <w:numPr>
          <w:ilvl w:val="2"/>
          <w:numId w:val="18"/>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F36DADF">
      <w:pPr>
        <w:pStyle w:val="53"/>
        <w:numPr>
          <w:ilvl w:val="2"/>
          <w:numId w:val="18"/>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0D7BC609">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0637C751">
      <w:pPr>
        <w:pStyle w:val="164"/>
        <w:numPr>
          <w:ilvl w:val="2"/>
          <w:numId w:val="18"/>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642CE7B9">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0268EA4F">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35780F0D">
      <w:pPr>
        <w:pStyle w:val="164"/>
        <w:numPr>
          <w:ilvl w:val="2"/>
          <w:numId w:val="18"/>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3EBB1771">
      <w:pPr>
        <w:pStyle w:val="164"/>
        <w:numPr>
          <w:ilvl w:val="2"/>
          <w:numId w:val="18"/>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3E6BCD25">
      <w:pPr>
        <w:pStyle w:val="163"/>
        <w:numPr>
          <w:ilvl w:val="3"/>
          <w:numId w:val="18"/>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438829D4">
      <w:pPr>
        <w:pStyle w:val="163"/>
        <w:numPr>
          <w:ilvl w:val="3"/>
          <w:numId w:val="18"/>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8" w:name="cadastro_reserva"/>
      <w:bookmarkEnd w:id="128"/>
    </w:p>
    <w:p w14:paraId="1D9E0EB0">
      <w:pPr>
        <w:pStyle w:val="164"/>
        <w:numPr>
          <w:ilvl w:val="2"/>
          <w:numId w:val="18"/>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35D52E0B">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66C3CEA0">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68FE9096">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29" w:name="habilitacao_reserva"/>
      <w:bookmarkEnd w:id="129"/>
    </w:p>
    <w:p w14:paraId="6EA1E08D">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44443674">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255FF944">
      <w:pPr>
        <w:pStyle w:val="49"/>
        <w:numPr>
          <w:ilvl w:val="1"/>
          <w:numId w:val="18"/>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2B184293">
      <w:pPr>
        <w:pStyle w:val="49"/>
        <w:numPr>
          <w:ilvl w:val="1"/>
          <w:numId w:val="18"/>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25FB179">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8E3C27C">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050BF8DF">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30" w:name="recusa_dos_que_baixaram_preco"/>
      <w:bookmarkEnd w:id="130"/>
    </w:p>
    <w:p w14:paraId="0DC97746">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2906FB10">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70E5AC9">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43869042">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E101876">
      <w:pPr>
        <w:pStyle w:val="49"/>
        <w:autoSpaceDE w:val="0"/>
        <w:autoSpaceDN w:val="0"/>
        <w:adjustRightInd w:val="0"/>
        <w:spacing w:line="360" w:lineRule="auto"/>
        <w:ind w:left="284"/>
        <w:rPr>
          <w:rFonts w:asciiTheme="minorHAnsi" w:hAnsiTheme="minorHAnsi" w:cstheme="minorHAnsi"/>
        </w:rPr>
      </w:pPr>
    </w:p>
    <w:p w14:paraId="68E8933D">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546407CB">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7C1C140F">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F1FBBC2">
      <w:pPr>
        <w:pStyle w:val="164"/>
        <w:numPr>
          <w:ilvl w:val="2"/>
          <w:numId w:val="18"/>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32B38E2">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0FC5205E">
      <w:pPr>
        <w:pStyle w:val="163"/>
        <w:numPr>
          <w:ilvl w:val="3"/>
          <w:numId w:val="18"/>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416251FE">
      <w:pPr>
        <w:pStyle w:val="163"/>
        <w:numPr>
          <w:ilvl w:val="3"/>
          <w:numId w:val="18"/>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0934AD60">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7B9CAD17">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241E9D89">
      <w:pPr>
        <w:pStyle w:val="164"/>
        <w:numPr>
          <w:ilvl w:val="2"/>
          <w:numId w:val="18"/>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261FA7D9">
      <w:pPr>
        <w:pStyle w:val="164"/>
        <w:numPr>
          <w:ilvl w:val="2"/>
          <w:numId w:val="18"/>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B6B255C">
      <w:pPr>
        <w:pStyle w:val="164"/>
        <w:numPr>
          <w:ilvl w:val="2"/>
          <w:numId w:val="18"/>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31" w:name="reducao_preco_mercado_negociacao_frustra"/>
      <w:bookmarkEnd w:id="131"/>
    </w:p>
    <w:p w14:paraId="574B08AD">
      <w:pPr>
        <w:pStyle w:val="164"/>
        <w:numPr>
          <w:ilvl w:val="2"/>
          <w:numId w:val="18"/>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1B2329B">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2" w:name="hipotese_preco_mercado_maior"/>
      <w:bookmarkEnd w:id="132"/>
    </w:p>
    <w:p w14:paraId="2BB501F1">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33" w:name="prova_preco_mercado_maior"/>
      <w:bookmarkEnd w:id="133"/>
    </w:p>
    <w:p w14:paraId="73668B4C">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34" w:name="nao_comprovacao_majoracao_mercado"/>
      <w:bookmarkEnd w:id="134"/>
    </w:p>
    <w:p w14:paraId="0B37A5D5">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1ADA5751">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35" w:name="majora_preco_mercado_negociacao_frustra"/>
      <w:bookmarkEnd w:id="135"/>
    </w:p>
    <w:p w14:paraId="57B556C9">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E1041BA">
      <w:pPr>
        <w:pStyle w:val="164"/>
        <w:numPr>
          <w:ilvl w:val="2"/>
          <w:numId w:val="18"/>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1EF546F9">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1AB103FA">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55910890">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16084326">
      <w:pPr>
        <w:pStyle w:val="164"/>
        <w:numPr>
          <w:ilvl w:val="2"/>
          <w:numId w:val="18"/>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37408310">
      <w:pPr>
        <w:pStyle w:val="164"/>
        <w:numPr>
          <w:ilvl w:val="2"/>
          <w:numId w:val="18"/>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657E24E2">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36" w:name="gerenciador_estimador_é_partic_em_remane"/>
      <w:bookmarkEnd w:id="136"/>
    </w:p>
    <w:p w14:paraId="53905738">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4B4D755D">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1FBA439A">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05872FE">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1AA01A26">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7" w:name="cancelamento"/>
      <w:bookmarkEnd w:id="137"/>
    </w:p>
    <w:p w14:paraId="3B99A483">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8" w:name="cancelamento_do_fornecedor"/>
      <w:bookmarkEnd w:id="138"/>
    </w:p>
    <w:p w14:paraId="1AA81A4B">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6061D884">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51AFC169">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163CF22E">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2D7138C0">
      <w:pPr>
        <w:pStyle w:val="163"/>
        <w:numPr>
          <w:ilvl w:val="3"/>
          <w:numId w:val="18"/>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11E3CE3">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1C51F124">
      <w:pPr>
        <w:pStyle w:val="49"/>
        <w:numPr>
          <w:ilvl w:val="1"/>
          <w:numId w:val="18"/>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5C9EFFDE">
      <w:pPr>
        <w:pStyle w:val="49"/>
        <w:numPr>
          <w:ilvl w:val="1"/>
          <w:numId w:val="18"/>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39" w:name="cancelamento_da_ata"/>
      <w:bookmarkEnd w:id="139"/>
      <w:r>
        <w:rPr>
          <w:rFonts w:asciiTheme="minorHAnsi" w:hAnsiTheme="minorHAnsi" w:cstheme="minorHAnsi"/>
        </w:rPr>
        <w:t xml:space="preserve"> </w:t>
      </w:r>
    </w:p>
    <w:p w14:paraId="3996DF2A">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1C3A5FFD">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7ADEA190">
      <w:pPr>
        <w:pStyle w:val="164"/>
        <w:numPr>
          <w:ilvl w:val="2"/>
          <w:numId w:val="18"/>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66A0D00D">
      <w:pPr>
        <w:pStyle w:val="164"/>
        <w:numPr>
          <w:ilvl w:val="0"/>
          <w:numId w:val="0"/>
        </w:numPr>
        <w:tabs>
          <w:tab w:val="left" w:pos="851"/>
        </w:tabs>
        <w:spacing w:line="360" w:lineRule="auto"/>
        <w:ind w:left="284"/>
        <w:rPr>
          <w:rFonts w:asciiTheme="minorHAnsi" w:hAnsiTheme="minorHAnsi" w:cstheme="minorHAnsi"/>
          <w:color w:val="auto"/>
          <w:sz w:val="22"/>
          <w:szCs w:val="22"/>
        </w:rPr>
      </w:pPr>
    </w:p>
    <w:p w14:paraId="5CD1C5FA">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2BCCEBF2">
      <w:pPr>
        <w:pStyle w:val="49"/>
        <w:numPr>
          <w:ilvl w:val="1"/>
          <w:numId w:val="18"/>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711C2372">
      <w:pPr>
        <w:pStyle w:val="164"/>
        <w:numPr>
          <w:ilvl w:val="2"/>
          <w:numId w:val="18"/>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6857143D">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0429487">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778D8BAC">
      <w:pPr>
        <w:pStyle w:val="63"/>
        <w:numPr>
          <w:ilvl w:val="0"/>
          <w:numId w:val="18"/>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75E4730A">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45EBDC8D">
      <w:pPr>
        <w:pStyle w:val="49"/>
        <w:numPr>
          <w:ilvl w:val="1"/>
          <w:numId w:val="18"/>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27EA4007">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1FDD2261">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37321B01">
      <w:pPr>
        <w:ind w:left="284"/>
        <w:jc w:val="both"/>
        <w:rPr>
          <w:rFonts w:cstheme="minorHAnsi"/>
          <w:bCs/>
        </w:rPr>
      </w:pPr>
      <w:r>
        <w:rPr>
          <w:rFonts w:cstheme="minorHAnsi"/>
          <w:bCs/>
        </w:rPr>
        <w:t>____________________________________________________</w:t>
      </w:r>
    </w:p>
    <w:p w14:paraId="28E534A7">
      <w:pPr>
        <w:ind w:left="284"/>
        <w:jc w:val="both"/>
        <w:rPr>
          <w:rFonts w:cstheme="minorHAnsi"/>
          <w:bCs/>
        </w:rPr>
      </w:pPr>
      <w:r>
        <w:rPr>
          <w:rFonts w:cstheme="minorHAnsi"/>
          <w:bCs/>
        </w:rPr>
        <w:t>DEBORAH LANDULFO MEDRADO DE VINHAES TORRES</w:t>
      </w:r>
    </w:p>
    <w:p w14:paraId="48C11369">
      <w:pPr>
        <w:ind w:left="284"/>
        <w:jc w:val="both"/>
        <w:rPr>
          <w:rFonts w:cstheme="minorHAnsi"/>
          <w:bCs/>
        </w:rPr>
      </w:pPr>
      <w:r>
        <w:rPr>
          <w:rFonts w:cstheme="minorHAnsi"/>
          <w:bCs/>
        </w:rPr>
        <w:t>Ordenador(a) de Despesa Substituto(a)</w:t>
      </w:r>
    </w:p>
    <w:p w14:paraId="60F740F3">
      <w:pPr>
        <w:ind w:left="284"/>
        <w:jc w:val="both"/>
        <w:rPr>
          <w:rFonts w:cstheme="minorHAnsi"/>
          <w:bCs/>
        </w:rPr>
      </w:pPr>
    </w:p>
    <w:p w14:paraId="286F6C72">
      <w:pPr>
        <w:ind w:left="284"/>
        <w:jc w:val="both"/>
        <w:rPr>
          <w:rFonts w:cstheme="minorHAnsi"/>
          <w:bCs/>
        </w:rPr>
      </w:pPr>
    </w:p>
    <w:p w14:paraId="44ADB4F0">
      <w:pPr>
        <w:ind w:left="284"/>
        <w:jc w:val="both"/>
        <w:rPr>
          <w:rFonts w:cstheme="minorHAnsi"/>
        </w:rPr>
      </w:pPr>
      <w:r>
        <w:rPr>
          <w:rFonts w:cstheme="minorHAnsi"/>
        </w:rPr>
        <w:t>_________________________________</w:t>
      </w:r>
    </w:p>
    <w:p w14:paraId="71D199F6">
      <w:pPr>
        <w:ind w:left="284"/>
        <w:jc w:val="both"/>
        <w:rPr>
          <w:rFonts w:cstheme="minorHAnsi"/>
          <w:b/>
          <w:color w:val="000000"/>
          <w:u w:val="single"/>
        </w:rPr>
      </w:pPr>
      <w:r>
        <w:rPr>
          <w:rFonts w:cstheme="minorHAnsi"/>
        </w:rPr>
        <w:t>Representante da Empresa</w:t>
      </w:r>
    </w:p>
    <w:p w14:paraId="12D93378">
      <w:pPr>
        <w:widowControl w:val="0"/>
        <w:autoSpaceDE w:val="0"/>
        <w:autoSpaceDN w:val="0"/>
        <w:adjustRightInd w:val="0"/>
        <w:spacing w:line="360" w:lineRule="auto"/>
        <w:ind w:left="284" w:right="-30"/>
        <w:jc w:val="center"/>
        <w:rPr>
          <w:rFonts w:cstheme="minorHAnsi"/>
          <w:b/>
          <w:color w:val="000000"/>
          <w:u w:val="single"/>
        </w:rPr>
      </w:pPr>
    </w:p>
    <w:p w14:paraId="593BDD2B">
      <w:pPr>
        <w:widowControl w:val="0"/>
        <w:autoSpaceDE w:val="0"/>
        <w:autoSpaceDN w:val="0"/>
        <w:adjustRightInd w:val="0"/>
        <w:spacing w:line="360" w:lineRule="auto"/>
        <w:ind w:left="284" w:right="-30"/>
        <w:jc w:val="center"/>
        <w:rPr>
          <w:rFonts w:cstheme="minorHAnsi"/>
          <w:b/>
          <w:color w:val="000000"/>
          <w:u w:val="single"/>
        </w:rPr>
      </w:pPr>
    </w:p>
    <w:p w14:paraId="1D171917">
      <w:pPr>
        <w:widowControl w:val="0"/>
        <w:autoSpaceDE w:val="0"/>
        <w:autoSpaceDN w:val="0"/>
        <w:adjustRightInd w:val="0"/>
        <w:spacing w:line="360" w:lineRule="auto"/>
        <w:ind w:left="284" w:right="-30"/>
        <w:jc w:val="center"/>
        <w:rPr>
          <w:rFonts w:cstheme="minorHAnsi"/>
          <w:b/>
          <w:color w:val="000000"/>
          <w:u w:val="single"/>
        </w:rPr>
      </w:pPr>
    </w:p>
    <w:p w14:paraId="0F9FFF45">
      <w:pPr>
        <w:widowControl w:val="0"/>
        <w:autoSpaceDE w:val="0"/>
        <w:autoSpaceDN w:val="0"/>
        <w:adjustRightInd w:val="0"/>
        <w:spacing w:line="360" w:lineRule="auto"/>
        <w:ind w:left="284" w:right="-30"/>
        <w:jc w:val="center"/>
        <w:rPr>
          <w:rFonts w:cstheme="minorHAnsi"/>
          <w:b/>
          <w:color w:val="000000"/>
          <w:u w:val="single"/>
        </w:rPr>
      </w:pPr>
    </w:p>
    <w:p w14:paraId="1335CDB4">
      <w:pPr>
        <w:widowControl w:val="0"/>
        <w:autoSpaceDE w:val="0"/>
        <w:autoSpaceDN w:val="0"/>
        <w:adjustRightInd w:val="0"/>
        <w:spacing w:line="360" w:lineRule="auto"/>
        <w:ind w:left="284" w:right="-30"/>
        <w:jc w:val="center"/>
        <w:rPr>
          <w:rFonts w:cstheme="minorHAnsi"/>
          <w:b/>
          <w:color w:val="000000"/>
          <w:u w:val="single"/>
        </w:rPr>
      </w:pPr>
    </w:p>
    <w:p w14:paraId="2DFCB06B">
      <w:pPr>
        <w:widowControl w:val="0"/>
        <w:autoSpaceDE w:val="0"/>
        <w:autoSpaceDN w:val="0"/>
        <w:adjustRightInd w:val="0"/>
        <w:spacing w:line="360" w:lineRule="auto"/>
        <w:ind w:left="284" w:right="-30"/>
        <w:jc w:val="center"/>
        <w:rPr>
          <w:rFonts w:cstheme="minorHAnsi"/>
          <w:b/>
          <w:color w:val="000000"/>
          <w:u w:val="single"/>
        </w:rPr>
      </w:pPr>
    </w:p>
    <w:p w14:paraId="4B668CAB">
      <w:pPr>
        <w:widowControl w:val="0"/>
        <w:autoSpaceDE w:val="0"/>
        <w:autoSpaceDN w:val="0"/>
        <w:adjustRightInd w:val="0"/>
        <w:spacing w:line="360" w:lineRule="auto"/>
        <w:ind w:left="284" w:right="-30"/>
        <w:jc w:val="center"/>
        <w:rPr>
          <w:rFonts w:cstheme="minorHAnsi"/>
          <w:b/>
          <w:color w:val="000000"/>
          <w:u w:val="single"/>
        </w:rPr>
      </w:pPr>
    </w:p>
    <w:p w14:paraId="22D3BB9C">
      <w:pPr>
        <w:widowControl w:val="0"/>
        <w:autoSpaceDE w:val="0"/>
        <w:autoSpaceDN w:val="0"/>
        <w:adjustRightInd w:val="0"/>
        <w:spacing w:line="360" w:lineRule="auto"/>
        <w:ind w:left="284" w:right="-30"/>
        <w:jc w:val="center"/>
        <w:rPr>
          <w:rFonts w:cstheme="minorHAnsi"/>
          <w:b/>
          <w:color w:val="000000"/>
          <w:u w:val="single"/>
        </w:rPr>
      </w:pPr>
    </w:p>
    <w:p w14:paraId="53F65F5C">
      <w:pPr>
        <w:widowControl w:val="0"/>
        <w:autoSpaceDE w:val="0"/>
        <w:autoSpaceDN w:val="0"/>
        <w:adjustRightInd w:val="0"/>
        <w:spacing w:line="360" w:lineRule="auto"/>
        <w:ind w:left="284" w:right="-30"/>
        <w:jc w:val="center"/>
        <w:rPr>
          <w:rFonts w:cstheme="minorHAnsi"/>
          <w:b/>
          <w:color w:val="000000"/>
          <w:u w:val="single"/>
        </w:rPr>
      </w:pPr>
    </w:p>
    <w:p w14:paraId="76A4D1A9">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341907CB">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42CE6213">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23795F2">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3C5A2411">
            <w:pPr>
              <w:widowControl w:val="0"/>
              <w:autoSpaceDE w:val="0"/>
              <w:autoSpaceDN w:val="0"/>
              <w:adjustRightInd w:val="0"/>
              <w:spacing w:line="360" w:lineRule="auto"/>
              <w:ind w:left="284" w:right="-30"/>
              <w:jc w:val="center"/>
              <w:rPr>
                <w:rFonts w:cstheme="minorHAnsi"/>
              </w:rPr>
            </w:pPr>
            <w:r>
              <w:rPr>
                <w:rFonts w:cstheme="minorHAnsi"/>
              </w:rPr>
              <w:t>Item</w:t>
            </w:r>
          </w:p>
          <w:p w14:paraId="71F344C1">
            <w:pPr>
              <w:widowControl w:val="0"/>
              <w:autoSpaceDE w:val="0"/>
              <w:autoSpaceDN w:val="0"/>
              <w:adjustRightInd w:val="0"/>
              <w:spacing w:line="360" w:lineRule="auto"/>
              <w:ind w:left="284" w:right="-30"/>
              <w:jc w:val="center"/>
              <w:rPr>
                <w:rFonts w:cstheme="minorHAnsi"/>
              </w:rPr>
            </w:pPr>
            <w:r>
              <w:rPr>
                <w:rFonts w:cstheme="minorHAnsi"/>
              </w:rPr>
              <w:t>do</w:t>
            </w:r>
          </w:p>
          <w:p w14:paraId="1C9D3422">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26F20228">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547911B4">
            <w:pPr>
              <w:widowControl w:val="0"/>
              <w:autoSpaceDE w:val="0"/>
              <w:autoSpaceDN w:val="0"/>
              <w:adjustRightInd w:val="0"/>
              <w:spacing w:line="360" w:lineRule="auto"/>
              <w:ind w:left="284" w:right="-30"/>
              <w:jc w:val="center"/>
              <w:rPr>
                <w:rFonts w:cstheme="minorHAnsi"/>
              </w:rPr>
            </w:pPr>
          </w:p>
        </w:tc>
      </w:tr>
      <w:tr w14:paraId="41D34F4A">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063638">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66DAEF2B">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6BC11FB8">
            <w:pPr>
              <w:widowControl w:val="0"/>
              <w:autoSpaceDE w:val="0"/>
              <w:autoSpaceDN w:val="0"/>
              <w:adjustRightInd w:val="0"/>
              <w:spacing w:line="360" w:lineRule="auto"/>
              <w:ind w:right="-30"/>
              <w:jc w:val="center"/>
              <w:rPr>
                <w:rFonts w:cstheme="minorHAnsi"/>
                <w:iCs/>
              </w:rPr>
            </w:pPr>
            <w:r>
              <w:rPr>
                <w:rFonts w:cstheme="minorHAnsi"/>
                <w:iCs/>
              </w:rPr>
              <w:t>Marca</w:t>
            </w:r>
          </w:p>
          <w:p w14:paraId="505E0A1D">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11366A27">
            <w:pPr>
              <w:widowControl w:val="0"/>
              <w:autoSpaceDE w:val="0"/>
              <w:autoSpaceDN w:val="0"/>
              <w:adjustRightInd w:val="0"/>
              <w:spacing w:line="360" w:lineRule="auto"/>
              <w:ind w:right="-30"/>
              <w:jc w:val="center"/>
              <w:rPr>
                <w:rFonts w:cstheme="minorHAnsi"/>
                <w:iCs/>
              </w:rPr>
            </w:pPr>
            <w:r>
              <w:rPr>
                <w:rFonts w:cstheme="minorHAnsi"/>
                <w:iCs/>
              </w:rPr>
              <w:t>Modelo</w:t>
            </w:r>
          </w:p>
          <w:p w14:paraId="2BCFC42E">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1FE29DC9">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7D73B7BD">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13EC2323">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71FAE148">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654F6286">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4B2B88C1">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33DFEA2">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649A5D81">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0B8160E6">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227F913F">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2E8E989A">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2A15CD04">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0E69184C">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37F66FC">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44D9EED7">
            <w:pPr>
              <w:widowControl w:val="0"/>
              <w:autoSpaceDE w:val="0"/>
              <w:autoSpaceDN w:val="0"/>
              <w:adjustRightInd w:val="0"/>
              <w:spacing w:line="360" w:lineRule="auto"/>
              <w:ind w:left="284" w:right="-30"/>
              <w:jc w:val="both"/>
              <w:rPr>
                <w:rFonts w:cstheme="minorHAnsi"/>
              </w:rPr>
            </w:pPr>
          </w:p>
        </w:tc>
      </w:tr>
    </w:tbl>
    <w:p w14:paraId="5B3B2A7E">
      <w:pPr>
        <w:widowControl w:val="0"/>
        <w:autoSpaceDE w:val="0"/>
        <w:autoSpaceDN w:val="0"/>
        <w:adjustRightInd w:val="0"/>
        <w:spacing w:line="360" w:lineRule="auto"/>
        <w:ind w:left="284" w:right="-30"/>
        <w:jc w:val="center"/>
        <w:rPr>
          <w:rFonts w:cstheme="minorHAnsi"/>
          <w:color w:val="000000"/>
        </w:rPr>
      </w:pPr>
    </w:p>
    <w:p w14:paraId="563CDE02">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25CFD094">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C2FFC15">
            <w:pPr>
              <w:widowControl w:val="0"/>
              <w:autoSpaceDE w:val="0"/>
              <w:autoSpaceDN w:val="0"/>
              <w:adjustRightInd w:val="0"/>
              <w:spacing w:line="360" w:lineRule="auto"/>
              <w:ind w:left="284" w:right="-30"/>
              <w:jc w:val="center"/>
              <w:rPr>
                <w:rFonts w:cstheme="minorHAnsi"/>
              </w:rPr>
            </w:pPr>
            <w:r>
              <w:rPr>
                <w:rFonts w:cstheme="minorHAnsi"/>
              </w:rPr>
              <w:t>Item</w:t>
            </w:r>
          </w:p>
          <w:p w14:paraId="4B0D68B2">
            <w:pPr>
              <w:widowControl w:val="0"/>
              <w:autoSpaceDE w:val="0"/>
              <w:autoSpaceDN w:val="0"/>
              <w:adjustRightInd w:val="0"/>
              <w:spacing w:line="360" w:lineRule="auto"/>
              <w:ind w:left="284" w:right="-30"/>
              <w:jc w:val="center"/>
              <w:rPr>
                <w:rFonts w:cstheme="minorHAnsi"/>
              </w:rPr>
            </w:pPr>
            <w:r>
              <w:rPr>
                <w:rFonts w:cstheme="minorHAnsi"/>
              </w:rPr>
              <w:t>do</w:t>
            </w:r>
          </w:p>
          <w:p w14:paraId="5CF8BDAA">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5DB8146">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47763E4A">
            <w:pPr>
              <w:widowControl w:val="0"/>
              <w:autoSpaceDE w:val="0"/>
              <w:autoSpaceDN w:val="0"/>
              <w:adjustRightInd w:val="0"/>
              <w:spacing w:line="360" w:lineRule="auto"/>
              <w:ind w:left="284" w:right="-30"/>
              <w:jc w:val="center"/>
              <w:rPr>
                <w:rFonts w:cstheme="minorHAnsi"/>
              </w:rPr>
            </w:pPr>
          </w:p>
        </w:tc>
      </w:tr>
      <w:tr w14:paraId="5681E5D5">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003AE2C8">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6C6AAA1C">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5E99026B">
            <w:pPr>
              <w:widowControl w:val="0"/>
              <w:autoSpaceDE w:val="0"/>
              <w:autoSpaceDN w:val="0"/>
              <w:adjustRightInd w:val="0"/>
              <w:spacing w:line="360" w:lineRule="auto"/>
              <w:ind w:right="-30"/>
              <w:jc w:val="center"/>
              <w:rPr>
                <w:rFonts w:cstheme="minorHAnsi"/>
              </w:rPr>
            </w:pPr>
            <w:r>
              <w:rPr>
                <w:rFonts w:cstheme="minorHAnsi"/>
              </w:rPr>
              <w:t>Marca</w:t>
            </w:r>
          </w:p>
          <w:p w14:paraId="5B6CD156">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58555EC4">
            <w:pPr>
              <w:widowControl w:val="0"/>
              <w:autoSpaceDE w:val="0"/>
              <w:autoSpaceDN w:val="0"/>
              <w:adjustRightInd w:val="0"/>
              <w:spacing w:line="360" w:lineRule="auto"/>
              <w:ind w:left="284" w:right="-30"/>
              <w:jc w:val="center"/>
              <w:rPr>
                <w:rFonts w:cstheme="minorHAnsi"/>
              </w:rPr>
            </w:pPr>
            <w:r>
              <w:rPr>
                <w:rFonts w:cstheme="minorHAnsi"/>
              </w:rPr>
              <w:t>Modelo</w:t>
            </w:r>
          </w:p>
          <w:p w14:paraId="02BFA3EE">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625150BA">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015AA39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7EB714E8">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32083FD2">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7514964B">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25AC6711">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4B41F88C">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6A1E419C">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59D45052">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74179779">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66079ED7">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6EA28DC9">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1730F7A6">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0C77F0F8">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3043C1DB">
            <w:pPr>
              <w:widowControl w:val="0"/>
              <w:autoSpaceDE w:val="0"/>
              <w:autoSpaceDN w:val="0"/>
              <w:adjustRightInd w:val="0"/>
              <w:spacing w:line="360" w:lineRule="auto"/>
              <w:ind w:left="284" w:right="-30"/>
              <w:jc w:val="both"/>
              <w:rPr>
                <w:rFonts w:cstheme="minorHAnsi"/>
              </w:rPr>
            </w:pPr>
          </w:p>
        </w:tc>
      </w:tr>
    </w:tbl>
    <w:p w14:paraId="3CDA98FD">
      <w:pPr>
        <w:spacing w:line="360" w:lineRule="auto"/>
        <w:ind w:left="284"/>
        <w:jc w:val="center"/>
        <w:rPr>
          <w:rFonts w:cstheme="minorHAnsi"/>
          <w:b/>
          <w:u w:val="single"/>
        </w:rPr>
      </w:pPr>
    </w:p>
    <w:p w14:paraId="460019A0">
      <w:pPr>
        <w:spacing w:line="360" w:lineRule="auto"/>
        <w:ind w:left="284"/>
        <w:jc w:val="center"/>
        <w:rPr>
          <w:rFonts w:cstheme="minorHAnsi"/>
          <w:b/>
          <w:u w:val="single"/>
        </w:rPr>
      </w:pPr>
    </w:p>
    <w:p w14:paraId="01D882CA">
      <w:pPr>
        <w:spacing w:line="360" w:lineRule="auto"/>
        <w:ind w:left="284"/>
        <w:jc w:val="center"/>
        <w:rPr>
          <w:rFonts w:cstheme="minorHAnsi"/>
          <w:b/>
          <w:u w:val="single"/>
        </w:rPr>
      </w:pPr>
    </w:p>
    <w:p w14:paraId="0A022ECA">
      <w:pPr>
        <w:spacing w:line="360" w:lineRule="auto"/>
        <w:jc w:val="center"/>
        <w:rPr>
          <w:rFonts w:cstheme="minorHAnsi"/>
        </w:rPr>
      </w:pPr>
      <w:r>
        <w:rPr>
          <w:rFonts w:cstheme="minorHAnsi"/>
          <w:b/>
          <w:u w:val="single"/>
        </w:rPr>
        <w:t>ANEXO V</w:t>
      </w:r>
    </w:p>
    <w:p w14:paraId="52904DEA">
      <w:pPr>
        <w:spacing w:line="360" w:lineRule="auto"/>
        <w:ind w:right="-91"/>
        <w:jc w:val="center"/>
        <w:rPr>
          <w:rFonts w:cstheme="minorHAnsi"/>
          <w:b/>
          <w:u w:val="single"/>
        </w:rPr>
      </w:pPr>
      <w:r>
        <w:rPr>
          <w:rFonts w:cstheme="minorHAnsi"/>
          <w:b/>
          <w:u w:val="single"/>
        </w:rPr>
        <w:t xml:space="preserve">MODELO DE CADASTRO PARA ASSINATURA DE </w:t>
      </w:r>
    </w:p>
    <w:p w14:paraId="44A3FA14">
      <w:pPr>
        <w:spacing w:line="360" w:lineRule="auto"/>
        <w:ind w:right="-91"/>
        <w:jc w:val="center"/>
        <w:rPr>
          <w:rFonts w:cstheme="minorHAnsi"/>
          <w:b/>
          <w:u w:val="single"/>
        </w:rPr>
      </w:pPr>
      <w:r>
        <w:rPr>
          <w:rFonts w:cstheme="minorHAnsi"/>
          <w:b/>
          <w:u w:val="single"/>
        </w:rPr>
        <w:t>ATA DE REGISTRO DE PREÇOS E RECEBIMENTO DE EMPENHO</w:t>
      </w:r>
    </w:p>
    <w:p w14:paraId="23B49E7A">
      <w:pPr>
        <w:spacing w:line="360" w:lineRule="auto"/>
        <w:ind w:left="284"/>
        <w:rPr>
          <w:rFonts w:cstheme="minorHAnsi"/>
        </w:rPr>
      </w:pPr>
    </w:p>
    <w:p w14:paraId="6D4740ED">
      <w:pPr>
        <w:spacing w:line="360" w:lineRule="auto"/>
        <w:ind w:left="284"/>
        <w:rPr>
          <w:rFonts w:cstheme="minorHAnsi"/>
        </w:rPr>
      </w:pPr>
      <w:r>
        <w:rPr>
          <w:rFonts w:cstheme="minorHAnsi"/>
        </w:rPr>
        <w:t>(Timbre da empresa)</w:t>
      </w:r>
    </w:p>
    <w:p w14:paraId="35AAF421">
      <w:pPr>
        <w:spacing w:line="360" w:lineRule="auto"/>
        <w:ind w:left="284"/>
        <w:rPr>
          <w:rFonts w:cstheme="minorHAnsi"/>
        </w:rPr>
      </w:pPr>
      <w:r>
        <w:rPr>
          <w:rFonts w:cstheme="minorHAnsi"/>
        </w:rPr>
        <w:t>(Número e ano da licitação)</w:t>
      </w:r>
    </w:p>
    <w:p w14:paraId="5159B8BE">
      <w:pPr>
        <w:spacing w:line="360" w:lineRule="auto"/>
        <w:ind w:left="284"/>
        <w:rPr>
          <w:rFonts w:cstheme="minorHAnsi"/>
        </w:rPr>
      </w:pPr>
    </w:p>
    <w:p w14:paraId="40374162">
      <w:pPr>
        <w:spacing w:line="240" w:lineRule="auto"/>
        <w:ind w:left="284"/>
        <w:jc w:val="both"/>
        <w:rPr>
          <w:rFonts w:cstheme="minorHAnsi"/>
        </w:rPr>
      </w:pPr>
      <w:r>
        <w:rPr>
          <w:rFonts w:cstheme="minorHAnsi"/>
        </w:rPr>
        <w:t>NOME: ____________________________________________________________________</w:t>
      </w:r>
    </w:p>
    <w:p w14:paraId="634B3BCC">
      <w:pPr>
        <w:spacing w:line="240" w:lineRule="auto"/>
        <w:ind w:left="284"/>
        <w:jc w:val="both"/>
        <w:rPr>
          <w:rFonts w:cstheme="minorHAnsi"/>
        </w:rPr>
      </w:pPr>
      <w:r>
        <w:rPr>
          <w:rFonts w:cstheme="minorHAnsi"/>
        </w:rPr>
        <w:t>CARGO: ___________________________________________________________________</w:t>
      </w:r>
    </w:p>
    <w:p w14:paraId="0A67EECB">
      <w:pPr>
        <w:spacing w:line="240" w:lineRule="auto"/>
        <w:ind w:left="284"/>
        <w:jc w:val="both"/>
        <w:rPr>
          <w:rFonts w:cstheme="minorHAnsi"/>
        </w:rPr>
      </w:pPr>
      <w:r>
        <w:rPr>
          <w:rFonts w:cstheme="minorHAnsi"/>
        </w:rPr>
        <w:t>TELEFONE COMERCIAL: ___________________CELULAR: _______________________</w:t>
      </w:r>
    </w:p>
    <w:p w14:paraId="4B8302E2">
      <w:pPr>
        <w:spacing w:line="240" w:lineRule="auto"/>
        <w:ind w:left="284"/>
        <w:jc w:val="both"/>
        <w:rPr>
          <w:rFonts w:cstheme="minorHAnsi"/>
        </w:rPr>
      </w:pPr>
      <w:r>
        <w:rPr>
          <w:rFonts w:cstheme="minorHAnsi"/>
        </w:rPr>
        <w:t>E-MAIL: ___________________________________________________________________</w:t>
      </w:r>
    </w:p>
    <w:p w14:paraId="2B452F83">
      <w:pPr>
        <w:spacing w:line="240" w:lineRule="auto"/>
        <w:ind w:left="284"/>
        <w:jc w:val="both"/>
        <w:rPr>
          <w:rFonts w:cstheme="minorHAnsi"/>
        </w:rPr>
      </w:pPr>
      <w:r>
        <w:rPr>
          <w:rFonts w:cstheme="minorHAnsi"/>
        </w:rPr>
        <w:t>Nº IDENTIDADE: _______, ORGÃO EMISSOR: __________Nº CPF: ________________</w:t>
      </w:r>
    </w:p>
    <w:p w14:paraId="798B88B7">
      <w:pPr>
        <w:spacing w:line="240" w:lineRule="auto"/>
        <w:ind w:left="284"/>
        <w:jc w:val="both"/>
        <w:rPr>
          <w:rFonts w:cstheme="minorHAnsi"/>
        </w:rPr>
      </w:pPr>
      <w:r>
        <w:rPr>
          <w:rFonts w:cstheme="minorHAnsi"/>
        </w:rPr>
        <w:t>ENDEREÇO RESIDENCIAL: __________________________CEP: 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158952BE">
      <w:pPr>
        <w:spacing w:line="240" w:lineRule="auto"/>
        <w:ind w:left="284"/>
        <w:jc w:val="both"/>
        <w:rPr>
          <w:rFonts w:cstheme="minorHAnsi"/>
        </w:rPr>
      </w:pPr>
      <w:r>
        <w:rPr>
          <w:rFonts w:cstheme="minorHAnsi"/>
        </w:rPr>
        <w:t>NACIONALIDADE: ________________________ESTADO CIVIL: ___________________</w:t>
      </w:r>
    </w:p>
    <w:p w14:paraId="41547488">
      <w:pPr>
        <w:spacing w:line="240" w:lineRule="auto"/>
        <w:ind w:left="284"/>
        <w:jc w:val="both"/>
        <w:rPr>
          <w:rFonts w:cstheme="minorHAnsi"/>
        </w:rPr>
      </w:pPr>
      <w:r>
        <w:rPr>
          <w:rFonts w:cstheme="minorHAnsi"/>
        </w:rPr>
        <w:t>Município, _______ DE ___________________ DE ___________.</w:t>
      </w:r>
    </w:p>
    <w:p w14:paraId="2C7106BF">
      <w:pPr>
        <w:spacing w:line="240" w:lineRule="auto"/>
        <w:ind w:left="284"/>
        <w:jc w:val="both"/>
        <w:rPr>
          <w:rFonts w:cstheme="minorHAnsi"/>
        </w:rPr>
      </w:pPr>
      <w:r>
        <w:rPr>
          <w:rFonts w:cstheme="minorHAnsi"/>
        </w:rPr>
        <w:t>_________________________________________________</w:t>
      </w:r>
    </w:p>
    <w:p w14:paraId="58F10621">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45320CA4">
      <w:pPr>
        <w:tabs>
          <w:tab w:val="left" w:pos="6681"/>
        </w:tabs>
        <w:spacing w:line="240" w:lineRule="auto"/>
        <w:ind w:left="284"/>
        <w:rPr>
          <w:rFonts w:cstheme="minorHAnsi"/>
        </w:rPr>
      </w:pPr>
    </w:p>
    <w:p w14:paraId="40183430">
      <w:pPr>
        <w:tabs>
          <w:tab w:val="left" w:pos="6681"/>
        </w:tabs>
        <w:spacing w:line="240" w:lineRule="auto"/>
        <w:ind w:left="284"/>
        <w:rPr>
          <w:rFonts w:cstheme="minorHAnsi"/>
        </w:rPr>
      </w:pPr>
      <w:r>
        <w:rPr>
          <w:rFonts w:cstheme="minorHAnsi"/>
        </w:rPr>
        <w:t xml:space="preserve">OBS: </w:t>
      </w:r>
    </w:p>
    <w:p w14:paraId="23B428C7">
      <w:pPr>
        <w:numPr>
          <w:ilvl w:val="0"/>
          <w:numId w:val="21"/>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50EA7300">
      <w:pPr>
        <w:numPr>
          <w:ilvl w:val="0"/>
          <w:numId w:val="21"/>
        </w:numPr>
        <w:tabs>
          <w:tab w:val="left" w:pos="709"/>
        </w:tabs>
        <w:spacing w:after="0" w:line="240" w:lineRule="auto"/>
        <w:ind w:left="284" w:firstLine="0"/>
        <w:rPr>
          <w:rFonts w:cstheme="minorHAnsi"/>
        </w:rPr>
      </w:pPr>
      <w:r>
        <w:rPr>
          <w:rFonts w:cstheme="minorHAnsi"/>
        </w:rPr>
        <w:t>Anexar cópia autenticada do contrato social.</w:t>
      </w:r>
    </w:p>
    <w:p w14:paraId="1687BC4F">
      <w:pPr>
        <w:numPr>
          <w:ilvl w:val="0"/>
          <w:numId w:val="21"/>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052918CD">
      <w:pPr>
        <w:numPr>
          <w:ilvl w:val="0"/>
          <w:numId w:val="21"/>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04A2ADAE">
      <w:pPr>
        <w:numPr>
          <w:ilvl w:val="0"/>
          <w:numId w:val="21"/>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sectPr>
      <w:headerReference r:id="rId5" w:type="default"/>
      <w:footerReference r:id="rId6"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Aptos">
    <w:altName w:val="Arial"/>
    <w:panose1 w:val="00000000000000000000"/>
    <w:charset w:val="00"/>
    <w:family w:val="swiss"/>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Liberation Mono"/>
    <w:panose1 w:val="00000000000000000000"/>
    <w:charset w:val="00"/>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E6B9C">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2044D8F8">
    <w:pPr>
      <w:pStyle w:val="31"/>
      <w:rPr>
        <w:rFonts w:ascii="Arial" w:hAnsi="Arial" w:cs="Arial"/>
        <w:sz w:val="14"/>
        <w:szCs w:val="14"/>
      </w:rPr>
    </w:pPr>
    <w:r>
      <w:rPr>
        <w:rFonts w:ascii="Arial" w:hAnsi="Arial" w:cs="Arial"/>
        <w:sz w:val="14"/>
        <w:szCs w:val="14"/>
      </w:rPr>
      <w:t xml:space="preserve">Modelo de Edital </w:t>
    </w:r>
    <w:bookmarkStart w:id="140" w:name="_Hlk135299681"/>
    <w:r>
      <w:rPr>
        <w:rFonts w:ascii="Arial" w:hAnsi="Arial" w:cs="Arial"/>
        <w:sz w:val="14"/>
        <w:szCs w:val="14"/>
      </w:rPr>
      <w:t>- Lei nº 14.133, de 2021.</w:t>
    </w:r>
    <w:bookmarkEnd w:id="140"/>
  </w:p>
  <w:p w14:paraId="2B9BE054">
    <w:pPr>
      <w:pStyle w:val="31"/>
      <w:rPr>
        <w:rFonts w:ascii="Arial" w:hAnsi="Arial" w:cs="Arial"/>
        <w:sz w:val="14"/>
        <w:szCs w:val="14"/>
      </w:rPr>
    </w:pPr>
    <w:bookmarkStart w:id="141" w:name="_Hlk135299703"/>
    <w:r>
      <w:rPr>
        <w:rFonts w:ascii="Arial" w:hAnsi="Arial" w:cs="Arial"/>
        <w:sz w:val="14"/>
        <w:szCs w:val="14"/>
      </w:rPr>
      <w:t>Aprovado pela Secretaria de Gestão e Inovação.</w:t>
    </w:r>
  </w:p>
  <w:p w14:paraId="048C22F0">
    <w:pPr>
      <w:pStyle w:val="31"/>
      <w:rPr>
        <w:rFonts w:ascii="Arial" w:hAnsi="Arial" w:cs="Arial"/>
        <w:sz w:val="14"/>
        <w:szCs w:val="14"/>
      </w:rPr>
    </w:pPr>
    <w:r>
      <w:rPr>
        <w:rFonts w:ascii="Arial" w:hAnsi="Arial" w:cs="Arial"/>
        <w:sz w:val="14"/>
        <w:szCs w:val="14"/>
      </w:rPr>
      <w:t>Identidade visual pela Secretaria de Gestão e Inovação</w:t>
    </w:r>
  </w:p>
  <w:p w14:paraId="653CE89C">
    <w:pPr>
      <w:pStyle w:val="31"/>
    </w:pPr>
    <w:bookmarkStart w:id="142" w:name="_Hlk135299665"/>
    <w:r>
      <w:rPr>
        <w:rFonts w:ascii="Arial" w:hAnsi="Arial" w:cs="Arial"/>
        <w:sz w:val="14"/>
        <w:szCs w:val="14"/>
      </w:rPr>
      <w:t xml:space="preserve">Atualização: </w:t>
    </w:r>
    <w:bookmarkEnd w:id="142"/>
    <w:r>
      <w:rPr>
        <w:rFonts w:ascii="Arial" w:hAnsi="Arial" w:cs="Arial"/>
        <w:sz w:val="14"/>
        <w:szCs w:val="14"/>
      </w:rPr>
      <w:t>NOV/2025</w:t>
    </w:r>
    <w:bookmarkEnd w:id="14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468CE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4B1F1A3B">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415548B3">
          <w:pPr>
            <w:spacing w:after="0" w:line="240" w:lineRule="auto"/>
            <w:jc w:val="center"/>
            <w:rPr>
              <w:rFonts w:ascii="Arial" w:hAnsi="Arial" w:eastAsia="Calibri" w:cs="Arial"/>
              <w:sz w:val="18"/>
              <w:szCs w:val="18"/>
            </w:rPr>
          </w:pPr>
        </w:p>
        <w:p w14:paraId="3E4C8405">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45CD9CAE">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139767F9">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6C2A6F75">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6CBF982C">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3E192967">
          <w:pPr>
            <w:spacing w:after="0" w:line="240" w:lineRule="auto"/>
            <w:jc w:val="center"/>
            <w:rPr>
              <w:rFonts w:ascii="Arial" w:hAnsi="Arial" w:eastAsia="Calibri" w:cs="Arial"/>
              <w:sz w:val="18"/>
              <w:szCs w:val="18"/>
            </w:rPr>
          </w:pPr>
        </w:p>
      </w:tc>
      <w:tc>
        <w:tcPr>
          <w:tcW w:w="2008" w:type="dxa"/>
        </w:tcPr>
        <w:p w14:paraId="5C248899">
          <w:pPr>
            <w:spacing w:after="0" w:line="240" w:lineRule="auto"/>
            <w:jc w:val="center"/>
            <w:rPr>
              <w:rFonts w:ascii="Arial" w:hAnsi="Arial" w:eastAsia="Calibri" w:cs="Arial"/>
              <w:sz w:val="18"/>
              <w:szCs w:val="18"/>
            </w:rPr>
          </w:pPr>
        </w:p>
        <w:p w14:paraId="75ED8273">
          <w:pPr>
            <w:spacing w:after="0" w:line="240" w:lineRule="auto"/>
            <w:jc w:val="center"/>
            <w:rPr>
              <w:rFonts w:ascii="Arial" w:hAnsi="Arial" w:eastAsia="Calibri" w:cs="Arial"/>
              <w:sz w:val="18"/>
              <w:szCs w:val="18"/>
            </w:rPr>
          </w:pPr>
        </w:p>
        <w:p w14:paraId="10A5EF09">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012F1C79">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5"/>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6"/>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3"/>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5">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1E2B21CF"/>
    <w:multiLevelType w:val="multilevel"/>
    <w:tmpl w:val="1E2B21CF"/>
    <w:lvl w:ilvl="0" w:tentative="0">
      <w:start w:val="4"/>
      <w:numFmt w:val="decimal"/>
      <w:lvlText w:val="%1."/>
      <w:lvlJc w:val="left"/>
      <w:pPr>
        <w:ind w:left="360" w:hanging="360"/>
      </w:pPr>
      <w:rPr>
        <w:rFonts w:hint="default"/>
      </w:rPr>
    </w:lvl>
    <w:lvl w:ilvl="1" w:tentative="0">
      <w:start w:val="8"/>
      <w:numFmt w:val="decimal"/>
      <w:lvlText w:val="%1.%2."/>
      <w:lvlJc w:val="left"/>
      <w:pPr>
        <w:ind w:left="792" w:hanging="432"/>
      </w:pPr>
      <w:rPr>
        <w:rFonts w:hint="default"/>
        <w:color w:val="auto"/>
      </w:rPr>
    </w:lvl>
    <w:lvl w:ilvl="2" w:tentative="0">
      <w:start w:val="1"/>
      <w:numFmt w:val="decimal"/>
      <w:lvlText w:val="%1.%2.%3."/>
      <w:lvlJc w:val="left"/>
      <w:pPr>
        <w:ind w:left="50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39424AD7"/>
    <w:multiLevelType w:val="multilevel"/>
    <w:tmpl w:val="39424AD7"/>
    <w:lvl w:ilvl="0" w:tentative="0">
      <w:start w:val="1"/>
      <w:numFmt w:val="decimal"/>
      <w:pStyle w:val="36"/>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0">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553013"/>
    <w:multiLevelType w:val="multilevel"/>
    <w:tmpl w:val="44553013"/>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2">
    <w:nsid w:val="52D45EAB"/>
    <w:multiLevelType w:val="multilevel"/>
    <w:tmpl w:val="52D45EAB"/>
    <w:lvl w:ilvl="0" w:tentative="0">
      <w:start w:val="1"/>
      <w:numFmt w:val="decimal"/>
      <w:lvlText w:val="%1"/>
      <w:lvlJc w:val="left"/>
      <w:pPr>
        <w:ind w:left="143" w:hanging="708"/>
      </w:pPr>
      <w:rPr>
        <w:rFonts w:hint="default"/>
        <w:lang w:val="pt-PT" w:eastAsia="en-US" w:bidi="ar-SA"/>
      </w:rPr>
    </w:lvl>
    <w:lvl w:ilvl="1" w:tentative="0">
      <w:start w:val="1"/>
      <w:numFmt w:val="decimal"/>
      <w:lvlText w:val="%1.%2."/>
      <w:lvlJc w:val="left"/>
      <w:pPr>
        <w:ind w:left="143" w:hanging="708"/>
      </w:pPr>
      <w:rPr>
        <w:rFonts w:hint="default" w:ascii="Aptos" w:hAnsi="Aptos" w:eastAsia="Times New Roman" w:cs="Times New Roman"/>
        <w:b w:val="0"/>
        <w:bCs w:val="0"/>
        <w:i w:val="0"/>
        <w:iCs w:val="0"/>
        <w:spacing w:val="0"/>
        <w:w w:val="100"/>
        <w:sz w:val="20"/>
        <w:szCs w:val="20"/>
        <w:lang w:val="pt-PT" w:eastAsia="en-US" w:bidi="ar-SA"/>
      </w:rPr>
    </w:lvl>
    <w:lvl w:ilvl="2" w:tentative="0">
      <w:start w:val="0"/>
      <w:numFmt w:val="bullet"/>
      <w:lvlText w:val="•"/>
      <w:lvlJc w:val="left"/>
      <w:pPr>
        <w:ind w:left="2039" w:hanging="708"/>
      </w:pPr>
      <w:rPr>
        <w:rFonts w:hint="default"/>
        <w:lang w:val="pt-PT" w:eastAsia="en-US" w:bidi="ar-SA"/>
      </w:rPr>
    </w:lvl>
    <w:lvl w:ilvl="3" w:tentative="0">
      <w:start w:val="0"/>
      <w:numFmt w:val="bullet"/>
      <w:lvlText w:val="•"/>
      <w:lvlJc w:val="left"/>
      <w:pPr>
        <w:ind w:left="2989" w:hanging="708"/>
      </w:pPr>
      <w:rPr>
        <w:rFonts w:hint="default"/>
        <w:lang w:val="pt-PT" w:eastAsia="en-US" w:bidi="ar-SA"/>
      </w:rPr>
    </w:lvl>
    <w:lvl w:ilvl="4" w:tentative="0">
      <w:start w:val="0"/>
      <w:numFmt w:val="bullet"/>
      <w:lvlText w:val="•"/>
      <w:lvlJc w:val="left"/>
      <w:pPr>
        <w:ind w:left="3939" w:hanging="708"/>
      </w:pPr>
      <w:rPr>
        <w:rFonts w:hint="default"/>
        <w:lang w:val="pt-PT" w:eastAsia="en-US" w:bidi="ar-SA"/>
      </w:rPr>
    </w:lvl>
    <w:lvl w:ilvl="5" w:tentative="0">
      <w:start w:val="0"/>
      <w:numFmt w:val="bullet"/>
      <w:lvlText w:val="•"/>
      <w:lvlJc w:val="left"/>
      <w:pPr>
        <w:ind w:left="4889" w:hanging="708"/>
      </w:pPr>
      <w:rPr>
        <w:rFonts w:hint="default"/>
        <w:lang w:val="pt-PT" w:eastAsia="en-US" w:bidi="ar-SA"/>
      </w:rPr>
    </w:lvl>
    <w:lvl w:ilvl="6" w:tentative="0">
      <w:start w:val="0"/>
      <w:numFmt w:val="bullet"/>
      <w:lvlText w:val="•"/>
      <w:lvlJc w:val="left"/>
      <w:pPr>
        <w:ind w:left="5839" w:hanging="708"/>
      </w:pPr>
      <w:rPr>
        <w:rFonts w:hint="default"/>
        <w:lang w:val="pt-PT" w:eastAsia="en-US" w:bidi="ar-SA"/>
      </w:rPr>
    </w:lvl>
    <w:lvl w:ilvl="7" w:tentative="0">
      <w:start w:val="0"/>
      <w:numFmt w:val="bullet"/>
      <w:lvlText w:val="•"/>
      <w:lvlJc w:val="left"/>
      <w:pPr>
        <w:ind w:left="6789" w:hanging="708"/>
      </w:pPr>
      <w:rPr>
        <w:rFonts w:hint="default"/>
        <w:lang w:val="pt-PT" w:eastAsia="en-US" w:bidi="ar-SA"/>
      </w:rPr>
    </w:lvl>
    <w:lvl w:ilvl="8" w:tentative="0">
      <w:start w:val="0"/>
      <w:numFmt w:val="bullet"/>
      <w:lvlText w:val="•"/>
      <w:lvlJc w:val="left"/>
      <w:pPr>
        <w:ind w:left="7739" w:hanging="708"/>
      </w:pPr>
      <w:rPr>
        <w:rFonts w:hint="default"/>
        <w:lang w:val="pt-PT" w:eastAsia="en-US" w:bidi="ar-SA"/>
      </w:rPr>
    </w:lvl>
  </w:abstractNum>
  <w:abstractNum w:abstractNumId="13">
    <w:nsid w:val="640C7C04"/>
    <w:multiLevelType w:val="multilevel"/>
    <w:tmpl w:val="640C7C04"/>
    <w:lvl w:ilvl="0" w:tentative="0">
      <w:start w:val="8"/>
      <w:numFmt w:val="decimal"/>
      <w:lvlText w:val="%1."/>
      <w:lvlJc w:val="left"/>
      <w:pPr>
        <w:ind w:left="360" w:hanging="360"/>
      </w:pPr>
      <w:rPr>
        <w:rFonts w:hint="default"/>
      </w:rPr>
    </w:lvl>
    <w:lvl w:ilvl="1" w:tentative="0">
      <w:start w:val="1"/>
      <w:numFmt w:val="decimal"/>
      <w:lvlText w:val="%1.%2."/>
      <w:lvlJc w:val="left"/>
      <w:pPr>
        <w:ind w:left="792" w:hanging="432"/>
      </w:pPr>
      <w:rPr>
        <w:rFonts w:hint="default"/>
        <w:color w:val="auto"/>
      </w:rPr>
    </w:lvl>
    <w:lvl w:ilvl="2" w:tentative="0">
      <w:start w:val="1"/>
      <w:numFmt w:val="decimal"/>
      <w:lvlText w:val="%1.%2.%3."/>
      <w:lvlJc w:val="left"/>
      <w:pPr>
        <w:ind w:left="504" w:hanging="504"/>
      </w:pPr>
      <w:rPr>
        <w:rFonts w:hint="default"/>
        <w:color w:val="000000" w:themeColor="text1"/>
        <w14:textFill>
          <w14:solidFill>
            <w14:schemeClr w14:val="tx1"/>
          </w14:solidFill>
        </w14:textFill>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4">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5">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792"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6">
    <w:nsid w:val="69313834"/>
    <w:multiLevelType w:val="multilevel"/>
    <w:tmpl w:val="69313834"/>
    <w:lvl w:ilvl="0" w:tentative="0">
      <w:start w:val="7"/>
      <w:numFmt w:val="decimal"/>
      <w:lvlText w:val="%1."/>
      <w:lvlJc w:val="left"/>
      <w:pPr>
        <w:ind w:left="360" w:hanging="360"/>
      </w:pPr>
      <w:rPr>
        <w:rFonts w:hint="default"/>
      </w:rPr>
    </w:lvl>
    <w:lvl w:ilvl="1" w:tentative="0">
      <w:start w:val="1"/>
      <w:numFmt w:val="decimal"/>
      <w:lvlText w:val="%1.%2."/>
      <w:lvlJc w:val="left"/>
      <w:pPr>
        <w:ind w:left="792" w:hanging="432"/>
      </w:pPr>
      <w:rPr>
        <w:rFonts w:hint="default"/>
        <w:color w:val="auto"/>
      </w:rPr>
    </w:lvl>
    <w:lvl w:ilvl="2" w:tentative="0">
      <w:start w:val="1"/>
      <w:numFmt w:val="decimal"/>
      <w:lvlText w:val="%1.%2.%3."/>
      <w:lvlJc w:val="left"/>
      <w:pPr>
        <w:ind w:left="50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7">
    <w:nsid w:val="75EE0044"/>
    <w:multiLevelType w:val="multilevel"/>
    <w:tmpl w:val="75EE0044"/>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color w:val="000000" w:themeColor="text1"/>
        <w14:textFill>
          <w14:solidFill>
            <w14:schemeClr w14:val="tx1"/>
          </w14:solidFill>
        </w14:textFill>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8">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9"/>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8"/>
  </w:num>
  <w:num w:numId="3">
    <w:abstractNumId w:val="4"/>
  </w:num>
  <w:num w:numId="4">
    <w:abstractNumId w:val="18"/>
  </w:num>
  <w:num w:numId="5">
    <w:abstractNumId w:val="1"/>
  </w:num>
  <w:num w:numId="6">
    <w:abstractNumId w:val="10"/>
  </w:num>
  <w:num w:numId="7">
    <w:abstractNumId w:val="5"/>
  </w:num>
  <w:num w:numId="8">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15"/>
  </w:num>
  <w:num w:numId="10">
    <w:abstractNumId w:val="12"/>
  </w:num>
  <w:num w:numId="11">
    <w:abstractNumId w:val="11"/>
  </w:num>
  <w:num w:numId="12">
    <w:abstractNumId w:val="17"/>
  </w:num>
  <w:num w:numId="13">
    <w:abstractNumId w:val="6"/>
  </w:num>
  <w:num w:numId="14">
    <w:abstractNumId w:val="16"/>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14"/>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72B9D"/>
    <w:rsid w:val="001D2821"/>
    <w:rsid w:val="00256471"/>
    <w:rsid w:val="002648FF"/>
    <w:rsid w:val="00266407"/>
    <w:rsid w:val="002812DB"/>
    <w:rsid w:val="00296668"/>
    <w:rsid w:val="002C1ABA"/>
    <w:rsid w:val="002C68C2"/>
    <w:rsid w:val="002D31CF"/>
    <w:rsid w:val="0032472D"/>
    <w:rsid w:val="00325518"/>
    <w:rsid w:val="00342BED"/>
    <w:rsid w:val="003456E8"/>
    <w:rsid w:val="00356052"/>
    <w:rsid w:val="003A7210"/>
    <w:rsid w:val="003B1AD4"/>
    <w:rsid w:val="00435640"/>
    <w:rsid w:val="00452B01"/>
    <w:rsid w:val="004563B4"/>
    <w:rsid w:val="0047214C"/>
    <w:rsid w:val="004769B1"/>
    <w:rsid w:val="00484501"/>
    <w:rsid w:val="004A5E69"/>
    <w:rsid w:val="004B21A8"/>
    <w:rsid w:val="004B4CFD"/>
    <w:rsid w:val="004C179A"/>
    <w:rsid w:val="004D585D"/>
    <w:rsid w:val="004E539D"/>
    <w:rsid w:val="004F7422"/>
    <w:rsid w:val="005060F7"/>
    <w:rsid w:val="00510A4E"/>
    <w:rsid w:val="00513CB9"/>
    <w:rsid w:val="00573637"/>
    <w:rsid w:val="005C074E"/>
    <w:rsid w:val="005C65C8"/>
    <w:rsid w:val="005D168E"/>
    <w:rsid w:val="00612D57"/>
    <w:rsid w:val="006140AA"/>
    <w:rsid w:val="00614B67"/>
    <w:rsid w:val="00616295"/>
    <w:rsid w:val="00647B89"/>
    <w:rsid w:val="006A2FC7"/>
    <w:rsid w:val="006C460C"/>
    <w:rsid w:val="006D096A"/>
    <w:rsid w:val="007202C5"/>
    <w:rsid w:val="00723731"/>
    <w:rsid w:val="00723D0D"/>
    <w:rsid w:val="00732158"/>
    <w:rsid w:val="0073645C"/>
    <w:rsid w:val="00766EB4"/>
    <w:rsid w:val="00772376"/>
    <w:rsid w:val="00777AB0"/>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24305"/>
    <w:rsid w:val="009423BD"/>
    <w:rsid w:val="0095458F"/>
    <w:rsid w:val="00993991"/>
    <w:rsid w:val="009A6622"/>
    <w:rsid w:val="009B1B64"/>
    <w:rsid w:val="009B73E5"/>
    <w:rsid w:val="009C1F75"/>
    <w:rsid w:val="00A11A5F"/>
    <w:rsid w:val="00A23D7C"/>
    <w:rsid w:val="00A27569"/>
    <w:rsid w:val="00A31342"/>
    <w:rsid w:val="00A6057C"/>
    <w:rsid w:val="00A737A5"/>
    <w:rsid w:val="00A75D5F"/>
    <w:rsid w:val="00AA582C"/>
    <w:rsid w:val="00AD39B9"/>
    <w:rsid w:val="00AF3723"/>
    <w:rsid w:val="00B071E2"/>
    <w:rsid w:val="00B27D69"/>
    <w:rsid w:val="00BA357A"/>
    <w:rsid w:val="00BD0102"/>
    <w:rsid w:val="00BE36C3"/>
    <w:rsid w:val="00C52B86"/>
    <w:rsid w:val="00C5628B"/>
    <w:rsid w:val="00C64060"/>
    <w:rsid w:val="00CA23F0"/>
    <w:rsid w:val="00D05F26"/>
    <w:rsid w:val="00D07288"/>
    <w:rsid w:val="00D20D1A"/>
    <w:rsid w:val="00D21512"/>
    <w:rsid w:val="00D24ADA"/>
    <w:rsid w:val="00D4297F"/>
    <w:rsid w:val="00D42D44"/>
    <w:rsid w:val="00D87225"/>
    <w:rsid w:val="00E0125E"/>
    <w:rsid w:val="00E1714D"/>
    <w:rsid w:val="00E30031"/>
    <w:rsid w:val="00E51DD6"/>
    <w:rsid w:val="00E71873"/>
    <w:rsid w:val="00E84125"/>
    <w:rsid w:val="00E841A1"/>
    <w:rsid w:val="00EC673B"/>
    <w:rsid w:val="00F11CF1"/>
    <w:rsid w:val="00F35BDD"/>
    <w:rsid w:val="00F76D35"/>
    <w:rsid w:val="00FB323D"/>
    <w:rsid w:val="00FD7AFE"/>
    <w:rsid w:val="00FF11E0"/>
    <w:rsid w:val="00FF1FB3"/>
    <w:rsid w:val="00FF6321"/>
    <w:rsid w:val="0BBA4B5E"/>
    <w:rsid w:val="5ED5062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0"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7" w:name="Placeholder Text"/>
    <w:lsdException w:qFormat="1" w:unhideWhenUsed="0" w:uiPriority="1"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8"/>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9"/>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0"/>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1"/>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8"/>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69"/>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0"/>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1"/>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basedOn w:val="11"/>
    <w:semiHidden/>
    <w:unhideWhenUsed/>
    <w:uiPriority w:val="0"/>
    <w:rPr>
      <w:color w:val="954F72" w:themeColor="followedHyperlink"/>
      <w:u w:val="single"/>
      <w14:textFill>
        <w14:solidFill>
          <w14:schemeClr w14:val="folHlink"/>
        </w14:solidFill>
      </w14:textFill>
    </w:rPr>
  </w:style>
  <w:style w:type="character" w:styleId="16">
    <w:name w:val="Emphasis"/>
    <w:basedOn w:val="11"/>
    <w:uiPriority w:val="0"/>
    <w:rPr>
      <w:i/>
      <w:iCs/>
    </w:rPr>
  </w:style>
  <w:style w:type="character" w:styleId="17">
    <w:name w:val="Hyperlink"/>
    <w:uiPriority w:val="99"/>
    <w:rPr>
      <w:color w:val="000080"/>
      <w:u w:val="single"/>
    </w:rPr>
  </w:style>
  <w:style w:type="paragraph" w:styleId="18">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9">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20">
    <w:name w:val="Body Text"/>
    <w:basedOn w:val="1"/>
    <w:link w:val="84"/>
    <w:unhideWhenUsed/>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1">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2">
    <w:name w:val="annotation text"/>
    <w:basedOn w:val="1"/>
    <w:link w:val="43"/>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3">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4">
    <w:name w:val="Title"/>
    <w:basedOn w:val="1"/>
    <w:next w:val="1"/>
    <w:link w:val="74"/>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5">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6">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7">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8">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9">
    <w:name w:val="header"/>
    <w:basedOn w:val="1"/>
    <w:link w:val="38"/>
    <w:unhideWhenUsed/>
    <w:qFormat/>
    <w:uiPriority w:val="0"/>
    <w:pPr>
      <w:tabs>
        <w:tab w:val="center" w:pos="4252"/>
        <w:tab w:val="right" w:pos="8504"/>
      </w:tabs>
      <w:spacing w:after="0" w:line="240" w:lineRule="auto"/>
    </w:pPr>
  </w:style>
  <w:style w:type="paragraph" w:styleId="30">
    <w:name w:val="annotation subject"/>
    <w:basedOn w:val="22"/>
    <w:next w:val="22"/>
    <w:link w:val="71"/>
    <w:semiHidden/>
    <w:unhideWhenUsed/>
    <w:qFormat/>
    <w:uiPriority w:val="99"/>
    <w:rPr>
      <w:b/>
      <w:bCs/>
    </w:rPr>
  </w:style>
  <w:style w:type="paragraph" w:styleId="31">
    <w:name w:val="footer"/>
    <w:basedOn w:val="1"/>
    <w:link w:val="39"/>
    <w:unhideWhenUsed/>
    <w:qFormat/>
    <w:uiPriority w:val="99"/>
    <w:pPr>
      <w:tabs>
        <w:tab w:val="center" w:pos="4252"/>
        <w:tab w:val="right" w:pos="8504"/>
      </w:tabs>
      <w:spacing w:after="0" w:line="240" w:lineRule="auto"/>
    </w:pPr>
  </w:style>
  <w:style w:type="paragraph" w:styleId="32">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3">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4">
    <w:name w:val="Balloon Text"/>
    <w:basedOn w:val="1"/>
    <w:link w:val="44"/>
    <w:unhideWhenUsed/>
    <w:qFormat/>
    <w:uiPriority w:val="99"/>
    <w:pPr>
      <w:spacing w:after="0" w:line="240" w:lineRule="auto"/>
    </w:pPr>
    <w:rPr>
      <w:rFonts w:ascii="Segoe UI" w:hAnsi="Segoe UI" w:cs="Segoe UI"/>
      <w:sz w:val="18"/>
      <w:szCs w:val="18"/>
    </w:rPr>
  </w:style>
  <w:style w:type="paragraph" w:styleId="35">
    <w:name w:val="Subtitle"/>
    <w:basedOn w:val="1"/>
    <w:next w:val="1"/>
    <w:link w:val="172"/>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6">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7">
    <w:name w:val="Table Grid"/>
    <w:basedOn w:val="12"/>
    <w:qFormat/>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Cabeçalho Char"/>
    <w:basedOn w:val="11"/>
    <w:link w:val="29"/>
    <w:qFormat/>
    <w:uiPriority w:val="0"/>
  </w:style>
  <w:style w:type="character" w:customStyle="1" w:styleId="39">
    <w:name w:val="Rodapé Char"/>
    <w:basedOn w:val="11"/>
    <w:link w:val="31"/>
    <w:qFormat/>
    <w:uiPriority w:val="99"/>
  </w:style>
  <w:style w:type="character" w:customStyle="1" w:styleId="40">
    <w:name w:val="modalidade"/>
    <w:basedOn w:val="11"/>
    <w:uiPriority w:val="0"/>
  </w:style>
  <w:style w:type="paragraph" w:customStyle="1" w:styleId="41">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2">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3">
    <w:name w:val="Texto de comentário Char"/>
    <w:basedOn w:val="11"/>
    <w:link w:val="22"/>
    <w:qFormat/>
    <w:uiPriority w:val="99"/>
    <w:rPr>
      <w:rFonts w:ascii="Ecofont_Spranq_eco_Sans" w:hAnsi="Ecofont_Spranq_eco_Sans" w:cs="Tahoma" w:eastAsiaTheme="minorEastAsia"/>
      <w:sz w:val="20"/>
      <w:szCs w:val="20"/>
      <w:lang w:eastAsia="pt-BR"/>
    </w:rPr>
  </w:style>
  <w:style w:type="character" w:customStyle="1" w:styleId="44">
    <w:name w:val="Texto de balão Char"/>
    <w:basedOn w:val="11"/>
    <w:link w:val="34"/>
    <w:qFormat/>
    <w:uiPriority w:val="99"/>
    <w:rPr>
      <w:rFonts w:ascii="Segoe UI" w:hAnsi="Segoe UI" w:cs="Segoe UI"/>
      <w:sz w:val="18"/>
      <w:szCs w:val="18"/>
    </w:rPr>
  </w:style>
  <w:style w:type="character" w:customStyle="1" w:styleId="45">
    <w:name w:val="Link da Internet"/>
    <w:basedOn w:val="11"/>
    <w:uiPriority w:val="99"/>
    <w:rPr>
      <w:rFonts w:cs="Times New Roman"/>
      <w:color w:val="0000FF"/>
      <w:u w:val="single"/>
    </w:rPr>
  </w:style>
  <w:style w:type="character" w:customStyle="1" w:styleId="46">
    <w:name w:val="apple-converted-space"/>
    <w:basedOn w:val="11"/>
    <w:qFormat/>
    <w:uiPriority w:val="0"/>
    <w:rPr>
      <w:rFonts w:cs="Times New Roman"/>
    </w:rPr>
  </w:style>
  <w:style w:type="character" w:customStyle="1" w:styleId="47">
    <w:name w:val="field-content"/>
    <w:basedOn w:val="11"/>
    <w:qFormat/>
    <w:uiPriority w:val="0"/>
    <w:rPr>
      <w:rFonts w:cs="Times New Roman"/>
    </w:rPr>
  </w:style>
  <w:style w:type="character" w:customStyle="1" w:styleId="48">
    <w:name w:val="Nivel 2 Char"/>
    <w:basedOn w:val="11"/>
    <w:link w:val="49"/>
    <w:qFormat/>
    <w:uiPriority w:val="0"/>
    <w:rPr>
      <w:rFonts w:ascii="Ecofont_Spranq_eco_Sans" w:hAnsi="Ecofont_Spranq_eco_Sans" w:eastAsia="Arial Unicode MS"/>
    </w:rPr>
  </w:style>
  <w:style w:type="paragraph" w:customStyle="1" w:styleId="49">
    <w:name w:val="Nivel 2"/>
    <w:link w:val="48"/>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0">
    <w:name w:val="Nivel 3"/>
    <w:basedOn w:val="49"/>
    <w:link w:val="52"/>
    <w:qFormat/>
    <w:uiPriority w:val="0"/>
    <w:pPr>
      <w:tabs>
        <w:tab w:val="left" w:pos="360"/>
      </w:tabs>
      <w:ind w:left="1922" w:hanging="720"/>
    </w:pPr>
    <w:rPr>
      <w:rFonts w:cs="Arial"/>
      <w:color w:val="000000"/>
    </w:rPr>
  </w:style>
  <w:style w:type="paragraph" w:customStyle="1" w:styleId="51">
    <w:name w:val="Nivel 4"/>
    <w:basedOn w:val="50"/>
    <w:link w:val="55"/>
    <w:qFormat/>
    <w:uiPriority w:val="0"/>
    <w:pPr>
      <w:ind w:left="2491"/>
    </w:pPr>
    <w:rPr>
      <w:color w:val="00000A"/>
    </w:rPr>
  </w:style>
  <w:style w:type="character" w:customStyle="1" w:styleId="52">
    <w:name w:val="Nivel 3 Char"/>
    <w:basedOn w:val="11"/>
    <w:link w:val="50"/>
    <w:qFormat/>
    <w:uiPriority w:val="0"/>
    <w:rPr>
      <w:rFonts w:ascii="Ecofont_Spranq_eco_Sans" w:hAnsi="Ecofont_Spranq_eco_Sans" w:eastAsia="Arial Unicode MS" w:cs="Arial"/>
      <w:color w:val="000000"/>
    </w:rPr>
  </w:style>
  <w:style w:type="paragraph" w:customStyle="1" w:styleId="53">
    <w:name w:val="Nível 3-R"/>
    <w:basedOn w:val="50"/>
    <w:link w:val="54"/>
    <w:qFormat/>
    <w:uiPriority w:val="0"/>
    <w:pPr>
      <w:numPr>
        <w:ilvl w:val="2"/>
        <w:numId w:val="3"/>
      </w:numPr>
      <w:tabs>
        <w:tab w:val="clear" w:pos="360"/>
      </w:tabs>
    </w:pPr>
    <w:rPr>
      <w:rFonts w:ascii="Arial" w:hAnsi="Arial" w:eastAsiaTheme="minorEastAsia"/>
      <w:i/>
      <w:iCs/>
      <w:color w:val="FF0000"/>
    </w:rPr>
  </w:style>
  <w:style w:type="character" w:customStyle="1" w:styleId="54">
    <w:name w:val="Nível 3-R Char"/>
    <w:basedOn w:val="52"/>
    <w:link w:val="53"/>
    <w:qFormat/>
    <w:uiPriority w:val="0"/>
    <w:rPr>
      <w:rFonts w:ascii="Arial" w:hAnsi="Arial" w:cs="Arial" w:eastAsiaTheme="minorEastAsia"/>
      <w:i/>
      <w:iCs/>
      <w:color w:val="FF0000"/>
    </w:rPr>
  </w:style>
  <w:style w:type="character" w:customStyle="1" w:styleId="55">
    <w:name w:val="Nivel 4 Char"/>
    <w:basedOn w:val="11"/>
    <w:link w:val="51"/>
    <w:qFormat/>
    <w:uiPriority w:val="0"/>
    <w:rPr>
      <w:rFonts w:ascii="Ecofont_Spranq_eco_Sans" w:hAnsi="Ecofont_Spranq_eco_Sans" w:eastAsia="Arial Unicode MS" w:cs="Arial"/>
      <w:color w:val="00000A"/>
    </w:rPr>
  </w:style>
  <w:style w:type="paragraph" w:customStyle="1" w:styleId="56">
    <w:name w:val="Nível 2 -Red"/>
    <w:basedOn w:val="49"/>
    <w:link w:val="57"/>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7">
    <w:name w:val="Nível 2 -Red Char"/>
    <w:basedOn w:val="48"/>
    <w:link w:val="56"/>
    <w:qFormat/>
    <w:uiPriority w:val="0"/>
    <w:rPr>
      <w:rFonts w:ascii="Arial" w:hAnsi="Arial" w:eastAsia="Times New Roman" w:cs="Arial"/>
      <w:i/>
      <w:iCs/>
      <w:color w:val="FF0000"/>
      <w:sz w:val="20"/>
    </w:rPr>
  </w:style>
  <w:style w:type="character" w:customStyle="1" w:styleId="58">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9">
    <w:name w:val="Título 2 Char"/>
    <w:basedOn w:val="11"/>
    <w:link w:val="3"/>
    <w:qFormat/>
    <w:uiPriority w:val="1"/>
    <w:rPr>
      <w:rFonts w:ascii="Times New Roman" w:hAnsi="Times New Roman" w:cs="Times New Roman" w:eastAsiaTheme="minorEastAsia"/>
      <w:b/>
      <w:color w:val="000000"/>
      <w:sz w:val="24"/>
      <w:szCs w:val="20"/>
      <w:lang w:eastAsia="pt-BR"/>
    </w:rPr>
  </w:style>
  <w:style w:type="character" w:customStyle="1" w:styleId="60">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1">
    <w:name w:val="Título 4 Char"/>
    <w:basedOn w:val="11"/>
    <w:link w:val="5"/>
    <w:semiHidden/>
    <w:uiPriority w:val="9"/>
    <w:rPr>
      <w:rFonts w:asciiTheme="majorHAnsi" w:hAnsiTheme="majorHAnsi" w:eastAsiaTheme="majorEastAsia" w:cstheme="majorBidi"/>
      <w:i/>
      <w:iCs/>
      <w:color w:val="2E75B6" w:themeColor="accent1" w:themeShade="BF"/>
      <w:sz w:val="24"/>
      <w:szCs w:val="24"/>
      <w:lang w:eastAsia="pt-BR"/>
    </w:rPr>
  </w:style>
  <w:style w:type="character" w:customStyle="1" w:styleId="62">
    <w:name w:val="Título 6 Char"/>
    <w:basedOn w:val="11"/>
    <w:link w:val="7"/>
    <w:semiHidden/>
    <w:uiPriority w:val="9"/>
    <w:rPr>
      <w:rFonts w:asciiTheme="majorHAnsi" w:hAnsiTheme="majorHAnsi" w:eastAsiaTheme="majorEastAsia" w:cstheme="majorBidi"/>
      <w:color w:val="1F4E79" w:themeColor="accent1" w:themeShade="80"/>
    </w:rPr>
  </w:style>
  <w:style w:type="paragraph" w:styleId="63">
    <w:name w:val="List Paragraph"/>
    <w:basedOn w:val="1"/>
    <w:link w:val="114"/>
    <w:qFormat/>
    <w:uiPriority w:val="1"/>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4">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5">
    <w:name w:val="normal__char1"/>
    <w:uiPriority w:val="0"/>
    <w:rPr>
      <w:rFonts w:hint="default" w:ascii="Arial" w:hAnsi="Arial" w:cs="Arial"/>
      <w:sz w:val="24"/>
      <w:szCs w:val="24"/>
      <w:u w:val="none"/>
    </w:rPr>
  </w:style>
  <w:style w:type="character" w:customStyle="1" w:styleId="66">
    <w:name w:val="apple-style-span"/>
    <w:basedOn w:val="11"/>
    <w:uiPriority w:val="0"/>
  </w:style>
  <w:style w:type="paragraph" w:styleId="67">
    <w:name w:val="Quote"/>
    <w:basedOn w:val="1"/>
    <w:next w:val="1"/>
    <w:link w:val="6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8">
    <w:name w:val="Citação Char"/>
    <w:basedOn w:val="11"/>
    <w:link w:val="67"/>
    <w:qFormat/>
    <w:uiPriority w:val="29"/>
    <w:rPr>
      <w:rFonts w:ascii="Arial" w:hAnsi="Arial" w:eastAsia="Calibri" w:cs="Tahoma"/>
      <w:i/>
      <w:iCs/>
      <w:color w:val="000000"/>
      <w:sz w:val="20"/>
      <w:szCs w:val="24"/>
      <w:shd w:val="clear" w:color="auto" w:fill="FFFFCC"/>
    </w:rPr>
  </w:style>
  <w:style w:type="paragraph" w:customStyle="1" w:styleId="69">
    <w:name w:val="Nota explicativa"/>
    <w:basedOn w:val="67"/>
    <w:link w:val="70"/>
    <w:qFormat/>
    <w:uiPriority w:val="0"/>
    <w:rPr>
      <w:szCs w:val="20"/>
    </w:rPr>
  </w:style>
  <w:style w:type="character" w:customStyle="1" w:styleId="70">
    <w:name w:val="Nota explicativa Char"/>
    <w:basedOn w:val="68"/>
    <w:link w:val="69"/>
    <w:uiPriority w:val="0"/>
    <w:rPr>
      <w:rFonts w:ascii="Arial" w:hAnsi="Arial" w:eastAsia="Calibri" w:cs="Tahoma"/>
      <w:color w:val="000000"/>
      <w:sz w:val="20"/>
      <w:szCs w:val="20"/>
      <w:shd w:val="clear" w:color="auto" w:fill="FFFFCC"/>
    </w:rPr>
  </w:style>
  <w:style w:type="character" w:customStyle="1" w:styleId="71">
    <w:name w:val="Assunto do comentário Char"/>
    <w:basedOn w:val="43"/>
    <w:link w:val="30"/>
    <w:semiHidden/>
    <w:qFormat/>
    <w:uiPriority w:val="99"/>
    <w:rPr>
      <w:rFonts w:ascii="Ecofont_Spranq_eco_Sans" w:hAnsi="Ecofont_Spranq_eco_Sans" w:cs="Tahoma" w:eastAsiaTheme="minorEastAsia"/>
      <w:b/>
      <w:bCs/>
      <w:sz w:val="20"/>
      <w:szCs w:val="20"/>
      <w:lang w:eastAsia="pt-BR"/>
    </w:rPr>
  </w:style>
  <w:style w:type="paragraph" w:customStyle="1" w:styleId="72">
    <w:name w:val="Nivel 01"/>
    <w:basedOn w:val="2"/>
    <w:next w:val="1"/>
    <w:link w:val="75"/>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3">
    <w:name w:val="Nivel_01_Titulo"/>
    <w:basedOn w:val="72"/>
    <w:link w:val="76"/>
    <w:uiPriority w:val="0"/>
    <w:pPr>
      <w:jc w:val="left"/>
    </w:pPr>
    <w:rPr>
      <w:rFonts w:cstheme="majorBidi"/>
      <w:color w:val="000000" w:themeColor="text1"/>
      <w:sz w:val="52"/>
      <w:szCs w:val="52"/>
      <w14:textFill>
        <w14:solidFill>
          <w14:schemeClr w14:val="tx1"/>
        </w14:solidFill>
      </w14:textFill>
    </w:rPr>
  </w:style>
  <w:style w:type="character" w:customStyle="1" w:styleId="74">
    <w:name w:val="Título Char"/>
    <w:basedOn w:val="11"/>
    <w:link w:val="24"/>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5">
    <w:name w:val="Nivel 01 Char"/>
    <w:basedOn w:val="74"/>
    <w:link w:val="72"/>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6">
    <w:name w:val="Nivel_01_Titulo Char"/>
    <w:basedOn w:val="75"/>
    <w:link w:val="73"/>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8">
    <w:name w:val="Quote Char"/>
    <w:basedOn w:val="11"/>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1">
    <w:name w:val="normaltextrun"/>
    <w:basedOn w:val="11"/>
    <w:qFormat/>
    <w:uiPriority w:val="0"/>
  </w:style>
  <w:style w:type="character" w:customStyle="1" w:styleId="82">
    <w:name w:val="eop"/>
    <w:basedOn w:val="11"/>
    <w:qFormat/>
    <w:uiPriority w:val="0"/>
  </w:style>
  <w:style w:type="character" w:customStyle="1" w:styleId="83">
    <w:name w:val="spellingerror"/>
    <w:basedOn w:val="11"/>
    <w:uiPriority w:val="0"/>
  </w:style>
  <w:style w:type="character" w:customStyle="1" w:styleId="84">
    <w:name w:val="Corpo de texto Char"/>
    <w:basedOn w:val="11"/>
    <w:link w:val="20"/>
    <w:qFormat/>
    <w:uiPriority w:val="0"/>
    <w:rPr>
      <w:rFonts w:ascii="Times New Roman" w:hAnsi="Times New Roman" w:eastAsia="Times New Roman" w:cs="Times New Roman"/>
      <w:sz w:val="24"/>
      <w:szCs w:val="24"/>
      <w:lang w:eastAsia="pt-BR"/>
    </w:rPr>
  </w:style>
  <w:style w:type="paragraph" w:customStyle="1" w:styleId="85">
    <w:name w:val="Nivel1"/>
    <w:basedOn w:val="2"/>
    <w:link w:val="86"/>
    <w:qFormat/>
    <w:uiPriority w:val="0"/>
    <w:pPr>
      <w:spacing w:line="276" w:lineRule="auto"/>
      <w:ind w:left="357" w:hanging="357"/>
      <w:jc w:val="both"/>
    </w:pPr>
    <w:rPr>
      <w:rFonts w:ascii="Arial" w:hAnsi="Arial" w:cs="Arial"/>
      <w:bCs w:val="0"/>
      <w:color w:val="000000"/>
    </w:rPr>
  </w:style>
  <w:style w:type="character" w:customStyle="1" w:styleId="86">
    <w:name w:val="Nivel1 Char"/>
    <w:basedOn w:val="58"/>
    <w:link w:val="85"/>
    <w:qFormat/>
    <w:uiPriority w:val="0"/>
    <w:rPr>
      <w:rFonts w:ascii="Arial" w:hAnsi="Arial" w:cs="Arial" w:eastAsiaTheme="majorEastAsia"/>
      <w:bCs w:val="0"/>
      <w:color w:val="000000"/>
      <w:sz w:val="28"/>
      <w:szCs w:val="28"/>
      <w:lang w:eastAsia="pt-BR"/>
    </w:rPr>
  </w:style>
  <w:style w:type="paragraph" w:customStyle="1" w:styleId="87">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8">
    <w:name w:val="Nivel 1"/>
    <w:basedOn w:val="49"/>
    <w:next w:val="49"/>
    <w:qFormat/>
    <w:uiPriority w:val="0"/>
    <w:pPr>
      <w:ind w:left="360" w:hanging="360"/>
    </w:pPr>
    <w:rPr>
      <w:rFonts w:ascii="Arial" w:hAnsi="Arial" w:cs="Arial" w:eastAsiaTheme="minorEastAsia"/>
      <w:b/>
      <w:color w:val="000000"/>
      <w:sz w:val="20"/>
      <w:szCs w:val="20"/>
      <w:lang w:eastAsia="pt-BR"/>
    </w:rPr>
  </w:style>
  <w:style w:type="paragraph" w:customStyle="1" w:styleId="89">
    <w:name w:val="Nivel 5"/>
    <w:basedOn w:val="51"/>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0">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1">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2">
    <w:name w:val="cp_0020corpodespacho__char1"/>
    <w:uiPriority w:val="0"/>
    <w:rPr>
      <w:rFonts w:hint="default" w:ascii="Times New Roman" w:hAnsi="Times New Roman" w:cs="Times New Roman"/>
      <w:sz w:val="26"/>
      <w:szCs w:val="26"/>
      <w:u w:val="none"/>
    </w:rPr>
  </w:style>
  <w:style w:type="character" w:customStyle="1" w:styleId="93">
    <w:name w:val="em_0020ementa__char1"/>
    <w:uiPriority w:val="0"/>
    <w:rPr>
      <w:rFonts w:hint="default" w:ascii="Times New Roman" w:hAnsi="Times New Roman" w:cs="Times New Roman"/>
      <w:sz w:val="28"/>
      <w:szCs w:val="28"/>
      <w:u w:val="none"/>
    </w:rPr>
  </w:style>
  <w:style w:type="paragraph" w:customStyle="1" w:styleId="94">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5">
    <w:name w:val="Manoel"/>
    <w:uiPriority w:val="0"/>
    <w:rPr>
      <w:rFonts w:ascii="Arial" w:hAnsi="Arial" w:cs="Arial"/>
      <w:color w:val="7030A0"/>
      <w:sz w:val="20"/>
    </w:rPr>
  </w:style>
  <w:style w:type="character" w:customStyle="1" w:styleId="96">
    <w:name w:val="ListLabel 12"/>
    <w:uiPriority w:val="0"/>
    <w:rPr>
      <w:b/>
    </w:rPr>
  </w:style>
  <w:style w:type="paragraph" w:customStyle="1" w:styleId="97">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Grade Colorida - Ênfase 11"/>
    <w:basedOn w:val="1"/>
    <w:next w:val="1"/>
    <w:link w:val="99"/>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9">
    <w:name w:val="Grade Colorida - Ênfase 1 Char"/>
    <w:link w:val="98"/>
    <w:uiPriority w:val="29"/>
    <w:rPr>
      <w:rFonts w:ascii="Arial" w:hAnsi="Arial" w:eastAsia="Calibri" w:cs="Times New Roman"/>
      <w:i/>
      <w:iCs/>
      <w:color w:val="000000"/>
      <w:sz w:val="20"/>
      <w:szCs w:val="24"/>
      <w:shd w:val="clear" w:color="auto" w:fill="FFFFCC"/>
    </w:rPr>
  </w:style>
  <w:style w:type="paragraph" w:customStyle="1" w:styleId="100">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102">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3">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4">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5">
    <w:name w:val="highlight"/>
    <w:basedOn w:val="11"/>
    <w:uiPriority w:val="0"/>
  </w:style>
  <w:style w:type="paragraph" w:customStyle="1" w:styleId="106">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Menção Pendente1"/>
    <w:basedOn w:val="11"/>
    <w:semiHidden/>
    <w:unhideWhenUsed/>
    <w:uiPriority w:val="99"/>
    <w:rPr>
      <w:color w:val="605E5C"/>
      <w:shd w:val="clear" w:color="auto" w:fill="E1DFDD"/>
    </w:rPr>
  </w:style>
  <w:style w:type="character" w:customStyle="1" w:styleId="108">
    <w:name w:val="Menção Pendente2"/>
    <w:basedOn w:val="11"/>
    <w:semiHidden/>
    <w:unhideWhenUsed/>
    <w:uiPriority w:val="99"/>
    <w:rPr>
      <w:color w:val="605E5C"/>
      <w:shd w:val="clear" w:color="auto" w:fill="E1DFDD"/>
    </w:rPr>
  </w:style>
  <w:style w:type="paragraph" w:customStyle="1" w:styleId="109">
    <w:name w:val="Nível 2 Opcional"/>
    <w:basedOn w:val="49"/>
    <w:link w:val="111"/>
    <w:uiPriority w:val="0"/>
    <w:pPr>
      <w:ind w:left="432" w:hanging="432"/>
    </w:pPr>
    <w:rPr>
      <w:rFonts w:ascii="Arial" w:hAnsi="Arial" w:eastAsia="Times New Roman" w:cs="Arial"/>
      <w:i/>
      <w:color w:val="FF0000"/>
      <w:sz w:val="20"/>
      <w:szCs w:val="20"/>
      <w:lang w:eastAsia="pt-BR"/>
    </w:rPr>
  </w:style>
  <w:style w:type="paragraph" w:customStyle="1" w:styleId="110">
    <w:name w:val="Nível 3 Opcional"/>
    <w:basedOn w:val="50"/>
    <w:link w:val="112"/>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1">
    <w:name w:val="Nível 2 Opcional Char"/>
    <w:basedOn w:val="11"/>
    <w:link w:val="109"/>
    <w:uiPriority w:val="0"/>
    <w:rPr>
      <w:rFonts w:ascii="Arial" w:hAnsi="Arial" w:eastAsia="Times New Roman" w:cs="Arial"/>
      <w:i/>
      <w:color w:val="FF0000"/>
      <w:sz w:val="20"/>
      <w:szCs w:val="20"/>
      <w:lang w:eastAsia="pt-BR"/>
    </w:rPr>
  </w:style>
  <w:style w:type="character" w:customStyle="1" w:styleId="112">
    <w:name w:val="Nível 3 Opcional Char"/>
    <w:basedOn w:val="11"/>
    <w:link w:val="110"/>
    <w:uiPriority w:val="0"/>
    <w:rPr>
      <w:rFonts w:ascii="Arial" w:hAnsi="Arial" w:eastAsia="Times New Roman" w:cs="Arial"/>
      <w:i/>
      <w:iCs/>
      <w:color w:val="FF0000"/>
      <w:sz w:val="20"/>
      <w:szCs w:val="20"/>
      <w:lang w:eastAsia="pt-BR"/>
    </w:rPr>
  </w:style>
  <w:style w:type="character" w:styleId="113">
    <w:name w:val="Placeholder Text"/>
    <w:basedOn w:val="11"/>
    <w:semiHidden/>
    <w:uiPriority w:val="67"/>
    <w:rPr>
      <w:color w:val="808080"/>
    </w:rPr>
  </w:style>
  <w:style w:type="character" w:customStyle="1" w:styleId="114">
    <w:name w:val="Parágrafo da Lista Char"/>
    <w:basedOn w:val="11"/>
    <w:link w:val="63"/>
    <w:qFormat/>
    <w:uiPriority w:val="34"/>
    <w:rPr>
      <w:rFonts w:ascii="Ecofont_Spranq_eco_Sans" w:hAnsi="Ecofont_Spranq_eco_Sans" w:cs="Tahoma" w:eastAsiaTheme="minorEastAsia"/>
      <w:sz w:val="24"/>
      <w:szCs w:val="24"/>
      <w:lang w:eastAsia="pt-BR"/>
    </w:rPr>
  </w:style>
  <w:style w:type="paragraph" w:customStyle="1" w:styleId="115">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6">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7">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8">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0">
    <w:name w:val="markedcontent"/>
    <w:basedOn w:val="11"/>
    <w:uiPriority w:val="0"/>
  </w:style>
  <w:style w:type="paragraph" w:customStyle="1" w:styleId="121">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2">
    <w:name w:val="Text body"/>
    <w:basedOn w:val="121"/>
    <w:uiPriority w:val="0"/>
    <w:pPr>
      <w:spacing w:after="140" w:line="276" w:lineRule="auto"/>
    </w:pPr>
  </w:style>
  <w:style w:type="character" w:customStyle="1" w:styleId="123">
    <w:name w:val="Menção Pendente3"/>
    <w:basedOn w:val="11"/>
    <w:semiHidden/>
    <w:unhideWhenUsed/>
    <w:uiPriority w:val="99"/>
    <w:rPr>
      <w:color w:val="605E5C"/>
      <w:shd w:val="clear" w:color="auto" w:fill="E1DFDD"/>
    </w:rPr>
  </w:style>
  <w:style w:type="character" w:customStyle="1" w:styleId="124">
    <w:name w:val="Menção Pendente4"/>
    <w:basedOn w:val="11"/>
    <w:semiHidden/>
    <w:unhideWhenUsed/>
    <w:uiPriority w:val="99"/>
    <w:rPr>
      <w:color w:val="605E5C"/>
      <w:shd w:val="clear" w:color="auto" w:fill="E1DFDD"/>
    </w:rPr>
  </w:style>
  <w:style w:type="paragraph" w:customStyle="1" w:styleId="125">
    <w:name w:val="ou"/>
    <w:basedOn w:val="63"/>
    <w:link w:val="126"/>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6">
    <w:name w:val="ou Char"/>
    <w:basedOn w:val="114"/>
    <w:link w:val="125"/>
    <w:qFormat/>
    <w:uiPriority w:val="0"/>
    <w:rPr>
      <w:rFonts w:ascii="Arial" w:hAnsi="Arial" w:cs="Arial" w:eastAsiaTheme="minorEastAsia"/>
      <w:b/>
      <w:bCs/>
      <w:i/>
      <w:iCs/>
      <w:color w:val="FF0000"/>
      <w:sz w:val="24"/>
      <w:szCs w:val="24"/>
      <w:u w:val="single"/>
      <w:lang w:eastAsia="pt-BR"/>
    </w:rPr>
  </w:style>
  <w:style w:type="paragraph" w:customStyle="1" w:styleId="1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8">
    <w:name w:val="Nível 4-R"/>
    <w:basedOn w:val="51"/>
    <w:link w:val="130"/>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9">
    <w:name w:val="Nível 1-Sem Num"/>
    <w:basedOn w:val="72"/>
    <w:link w:val="131"/>
    <w:qFormat/>
    <w:uiPriority w:val="0"/>
    <w:pPr>
      <w:ind w:left="0" w:firstLine="0"/>
      <w:outlineLvl w:val="1"/>
    </w:pPr>
    <w:rPr>
      <w:color w:val="FF0000"/>
    </w:rPr>
  </w:style>
  <w:style w:type="character" w:customStyle="1" w:styleId="130">
    <w:name w:val="Nível 4-R Char"/>
    <w:basedOn w:val="55"/>
    <w:link w:val="128"/>
    <w:qFormat/>
    <w:uiPriority w:val="0"/>
    <w:rPr>
      <w:rFonts w:ascii="Arial" w:hAnsi="Arial" w:cs="Arial" w:eastAsiaTheme="minorEastAsia"/>
      <w:i/>
      <w:iCs/>
      <w:color w:val="FF0000"/>
      <w:sz w:val="20"/>
      <w:szCs w:val="20"/>
      <w:lang w:eastAsia="pt-BR"/>
    </w:rPr>
  </w:style>
  <w:style w:type="character" w:customStyle="1" w:styleId="131">
    <w:name w:val="Nível 1-Sem Num Char"/>
    <w:basedOn w:val="75"/>
    <w:link w:val="129"/>
    <w:qFormat/>
    <w:uiPriority w:val="0"/>
    <w:rPr>
      <w:rFonts w:ascii="Arial" w:hAnsi="Arial" w:eastAsia="Arial" w:cs="Arial"/>
      <w:color w:val="FF0000"/>
      <w:spacing w:val="5"/>
      <w:kern w:val="28"/>
      <w:sz w:val="20"/>
      <w:szCs w:val="20"/>
      <w:lang w:eastAsia="pt-BR"/>
    </w:rPr>
  </w:style>
  <w:style w:type="paragraph" w:customStyle="1" w:styleId="132">
    <w:name w:val="citação 2"/>
    <w:basedOn w:val="67"/>
    <w:link w:val="136"/>
    <w:uiPriority w:val="0"/>
    <w:pPr>
      <w:overflowPunct w:val="0"/>
    </w:pPr>
    <w:rPr>
      <w:szCs w:val="20"/>
    </w:rPr>
  </w:style>
  <w:style w:type="paragraph" w:customStyle="1" w:styleId="133">
    <w:name w:val="Preâmbulo"/>
    <w:basedOn w:val="1"/>
    <w:link w:val="134"/>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4">
    <w:name w:val="Preâmbulo Char"/>
    <w:basedOn w:val="11"/>
    <w:link w:val="133"/>
    <w:uiPriority w:val="0"/>
    <w:rPr>
      <w:rFonts w:ascii="Arial" w:hAnsi="Arial" w:eastAsia="Arial" w:cs="Arial"/>
      <w:bCs/>
      <w:sz w:val="20"/>
      <w:szCs w:val="20"/>
      <w:lang w:eastAsia="pt-BR"/>
    </w:rPr>
  </w:style>
  <w:style w:type="character" w:customStyle="1" w:styleId="135">
    <w:name w:val="Menção Pendente5"/>
    <w:basedOn w:val="11"/>
    <w:semiHidden/>
    <w:unhideWhenUsed/>
    <w:uiPriority w:val="99"/>
    <w:rPr>
      <w:color w:val="605E5C"/>
      <w:shd w:val="clear" w:color="auto" w:fill="E1DFDD"/>
    </w:rPr>
  </w:style>
  <w:style w:type="character" w:customStyle="1" w:styleId="136">
    <w:name w:val="citação 2 Char"/>
    <w:basedOn w:val="68"/>
    <w:link w:val="132"/>
    <w:uiPriority w:val="0"/>
    <w:rPr>
      <w:rFonts w:ascii="Arial" w:hAnsi="Arial" w:eastAsia="Calibri" w:cs="Tahoma"/>
      <w:color w:val="000000"/>
      <w:sz w:val="20"/>
      <w:szCs w:val="20"/>
      <w:shd w:val="clear" w:color="auto" w:fill="FFFFCC"/>
    </w:rPr>
  </w:style>
  <w:style w:type="paragraph" w:customStyle="1" w:styleId="137">
    <w:name w:val="TOC Heading"/>
    <w:basedOn w:val="2"/>
    <w:next w:val="1"/>
    <w:unhideWhenUsed/>
    <w:qFormat/>
    <w:uiPriority w:val="39"/>
    <w:pPr>
      <w:spacing w:before="240" w:line="259" w:lineRule="auto"/>
      <w:outlineLvl w:val="9"/>
    </w:pPr>
    <w:rPr>
      <w:b w:val="0"/>
      <w:bCs w:val="0"/>
      <w:sz w:val="32"/>
      <w:szCs w:val="32"/>
    </w:rPr>
  </w:style>
  <w:style w:type="character" w:customStyle="1" w:styleId="138">
    <w:name w:val="Menção Pendente6"/>
    <w:basedOn w:val="11"/>
    <w:semiHidden/>
    <w:unhideWhenUsed/>
    <w:uiPriority w:val="99"/>
    <w:rPr>
      <w:color w:val="605E5C"/>
      <w:shd w:val="clear" w:color="auto" w:fill="E1DFDD"/>
    </w:rPr>
  </w:style>
  <w:style w:type="character" w:customStyle="1" w:styleId="139">
    <w:name w:val="Mention non résolue1"/>
    <w:basedOn w:val="11"/>
    <w:semiHidden/>
    <w:unhideWhenUsed/>
    <w:uiPriority w:val="99"/>
    <w:rPr>
      <w:color w:val="605E5C"/>
      <w:shd w:val="clear" w:color="auto" w:fill="E1DFDD"/>
    </w:rPr>
  </w:style>
  <w:style w:type="paragraph" w:customStyle="1" w:styleId="140">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1">
    <w:name w:val="Unresolved Mention"/>
    <w:basedOn w:val="11"/>
    <w:semiHidden/>
    <w:unhideWhenUsed/>
    <w:uiPriority w:val="99"/>
    <w:rPr>
      <w:color w:val="605E5C"/>
      <w:shd w:val="clear" w:color="auto" w:fill="E1DFDD"/>
    </w:rPr>
  </w:style>
  <w:style w:type="character" w:customStyle="1" w:styleId="142">
    <w:name w:val="findhit"/>
    <w:basedOn w:val="11"/>
    <w:qFormat/>
    <w:uiPriority w:val="0"/>
  </w:style>
  <w:style w:type="paragraph" w:customStyle="1" w:styleId="143">
    <w:name w:val="Nível 1-Sem Num Preto"/>
    <w:basedOn w:val="129"/>
    <w:link w:val="144"/>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4">
    <w:name w:val="Nível 1-Sem Num Preto Char"/>
    <w:basedOn w:val="131"/>
    <w:link w:val="143"/>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6">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7">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8">
    <w:name w:val="object"/>
    <w:basedOn w:val="11"/>
    <w:qFormat/>
    <w:uiPriority w:val="0"/>
  </w:style>
  <w:style w:type="character" w:customStyle="1" w:styleId="149">
    <w:name w:val="linkdainternet"/>
    <w:basedOn w:val="11"/>
    <w:qFormat/>
    <w:uiPriority w:val="0"/>
  </w:style>
  <w:style w:type="character" w:customStyle="1" w:styleId="150">
    <w:name w:val="object-hover"/>
    <w:basedOn w:val="11"/>
    <w:qFormat/>
    <w:uiPriority w:val="0"/>
  </w:style>
  <w:style w:type="table" w:customStyle="1" w:styleId="151">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2">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3">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4">
    <w:name w:val="Nível 02"/>
    <w:basedOn w:val="153"/>
    <w:link w:val="155"/>
    <w:autoRedefine/>
    <w:qFormat/>
    <w:uiPriority w:val="0"/>
    <w:pPr>
      <w:shd w:val="clear" w:color="auto" w:fill="auto"/>
    </w:pPr>
    <w:rPr>
      <w:i w:val="0"/>
      <w:iCs/>
      <w:color w:val="auto"/>
    </w:rPr>
  </w:style>
  <w:style w:type="character" w:customStyle="1" w:styleId="155">
    <w:name w:val="Nível 02 Char"/>
    <w:basedOn w:val="11"/>
    <w:link w:val="154"/>
    <w:qFormat/>
    <w:uiPriority w:val="0"/>
    <w:rPr>
      <w:rFonts w:ascii="Arial" w:hAnsi="Arial" w:eastAsia="Arial" w:cs="Arial"/>
      <w:iCs/>
      <w:sz w:val="20"/>
      <w:szCs w:val="20"/>
      <w:lang w:eastAsia="pt-BR"/>
    </w:rPr>
  </w:style>
  <w:style w:type="character" w:customStyle="1" w:styleId="156">
    <w:name w:val="WW8Num1z0"/>
    <w:qFormat/>
    <w:uiPriority w:val="0"/>
    <w:rPr>
      <w:rFonts w:hint="default"/>
    </w:rPr>
  </w:style>
  <w:style w:type="paragraph" w:customStyle="1" w:styleId="157">
    <w:name w:val="Nível 1-Sem Numeração"/>
    <w:basedOn w:val="129"/>
    <w:link w:val="158"/>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8">
    <w:name w:val="Nível 1-Sem Numeração Char"/>
    <w:basedOn w:val="131"/>
    <w:link w:val="157"/>
    <w:qFormat/>
    <w:uiPriority w:val="0"/>
    <w:rPr>
      <w:rFonts w:ascii="Arial" w:hAnsi="Arial" w:eastAsia="Arial" w:cs="Arial"/>
      <w:bCs w:val="0"/>
      <w:iCs w:val="0"/>
      <w:color w:val="FF0000"/>
      <w:spacing w:val="5"/>
      <w:kern w:val="28"/>
      <w:sz w:val="20"/>
      <w:szCs w:val="20"/>
      <w:lang w:eastAsia="pt-BR"/>
    </w:rPr>
  </w:style>
  <w:style w:type="paragraph" w:customStyle="1" w:styleId="159">
    <w:name w:val="Nível 2-Opcional"/>
    <w:basedOn w:val="154"/>
    <w:link w:val="160"/>
    <w:qFormat/>
    <w:uiPriority w:val="0"/>
    <w:pPr>
      <w:numPr>
        <w:numId w:val="4"/>
      </w:numPr>
      <w:ind w:left="0" w:firstLine="0"/>
    </w:pPr>
    <w:rPr>
      <w:i/>
      <w:color w:val="FF0000"/>
    </w:rPr>
  </w:style>
  <w:style w:type="character" w:customStyle="1" w:styleId="160">
    <w:name w:val="Nível 2-Opcional Char"/>
    <w:basedOn w:val="155"/>
    <w:link w:val="159"/>
    <w:qFormat/>
    <w:uiPriority w:val="0"/>
    <w:rPr>
      <w:rFonts w:ascii="Arial" w:hAnsi="Arial" w:eastAsia="Arial" w:cs="Arial"/>
      <w:i/>
      <w:color w:val="FF0000"/>
      <w:sz w:val="20"/>
      <w:szCs w:val="20"/>
      <w:lang w:eastAsia="pt-BR"/>
    </w:rPr>
  </w:style>
  <w:style w:type="paragraph" w:customStyle="1" w:styleId="161">
    <w:name w:val="Nível 3-Opcional"/>
    <w:basedOn w:val="50"/>
    <w:link w:val="162"/>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2">
    <w:name w:val="Nível 3-Opcional Char"/>
    <w:basedOn w:val="52"/>
    <w:link w:val="161"/>
    <w:qFormat/>
    <w:uiPriority w:val="0"/>
    <w:rPr>
      <w:rFonts w:ascii="Arial" w:hAnsi="Arial" w:cs="Tahoma" w:eastAsiaTheme="minorEastAsia"/>
      <w:i/>
      <w:color w:val="FF0000"/>
      <w:sz w:val="2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4">
    <w:name w:val="Nível 3"/>
    <w:basedOn w:val="53"/>
    <w:link w:val="165"/>
    <w:qFormat/>
    <w:uiPriority w:val="0"/>
    <w:pPr>
      <w:numPr>
        <w:numId w:val="6"/>
      </w:numPr>
    </w:pPr>
    <w:rPr>
      <w:rFonts w:eastAsia="Times New Roman"/>
      <w:i w:val="0"/>
      <w:iCs w:val="0"/>
      <w:sz w:val="24"/>
      <w:szCs w:val="20"/>
      <w:lang w:eastAsia="pt-BR"/>
    </w:rPr>
  </w:style>
  <w:style w:type="character" w:customStyle="1" w:styleId="165">
    <w:name w:val="Nível 3 Char"/>
    <w:basedOn w:val="54"/>
    <w:link w:val="164"/>
    <w:uiPriority w:val="0"/>
    <w:rPr>
      <w:rFonts w:ascii="Arial" w:hAnsi="Arial" w:eastAsia="Times New Roman" w:cs="Arial"/>
      <w:i w:val="0"/>
      <w:iCs w:val="0"/>
      <w:color w:val="FF0000"/>
      <w:sz w:val="24"/>
      <w:szCs w:val="20"/>
      <w:lang w:eastAsia="pt-BR"/>
    </w:rPr>
  </w:style>
  <w:style w:type="character" w:customStyle="1" w:styleId="166">
    <w:name w:val="Nível 4 Char"/>
    <w:basedOn w:val="165"/>
    <w:link w:val="163"/>
    <w:uiPriority w:val="0"/>
    <w:rPr>
      <w:rFonts w:ascii="Arial" w:hAnsi="Arial" w:eastAsia="Times New Roman" w:cs="Arial"/>
      <w:color w:val="FF0000"/>
      <w:sz w:val="20"/>
      <w:szCs w:val="20"/>
      <w:lang w:eastAsia="pt-BR"/>
    </w:rPr>
  </w:style>
  <w:style w:type="paragraph" w:customStyle="1" w:styleId="167">
    <w:name w:val="Normal2"/>
    <w:uiPriority w:val="0"/>
    <w:pPr>
      <w:spacing w:after="160" w:line="259" w:lineRule="auto"/>
    </w:pPr>
    <w:rPr>
      <w:rFonts w:ascii="Calibri" w:hAnsi="Calibri" w:eastAsia="Calibri" w:cs="Calibri"/>
      <w:sz w:val="22"/>
      <w:szCs w:val="22"/>
      <w:lang w:val="pt-BR" w:eastAsia="pt-BR" w:bidi="ar-SA"/>
    </w:rPr>
  </w:style>
  <w:style w:type="character" w:customStyle="1" w:styleId="168">
    <w:name w:val="Título 5 Char"/>
    <w:basedOn w:val="11"/>
    <w:link w:val="6"/>
    <w:semiHidden/>
    <w:uiPriority w:val="9"/>
    <w:rPr>
      <w:rFonts w:ascii="Calibri" w:hAnsi="Calibri" w:eastAsiaTheme="majorEastAsia" w:cstheme="majorBidi"/>
      <w:color w:val="2E75B6" w:themeColor="accent1" w:themeShade="BF"/>
      <w:lang w:val="pt-PT"/>
    </w:rPr>
  </w:style>
  <w:style w:type="character" w:customStyle="1" w:styleId="169">
    <w:name w:val="Título 7 Char"/>
    <w:basedOn w:val="11"/>
    <w:link w:val="8"/>
    <w:semiHidden/>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0">
    <w:name w:val="Título 8 Char"/>
    <w:basedOn w:val="11"/>
    <w:link w:val="9"/>
    <w:semiHidden/>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1">
    <w:name w:val="Título 9 Char"/>
    <w:basedOn w:val="11"/>
    <w:link w:val="10"/>
    <w:semiHidden/>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2">
    <w:name w:val="Subtítulo Char"/>
    <w:basedOn w:val="11"/>
    <w:link w:val="35"/>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3">
    <w:name w:val="Intense Emphasis"/>
    <w:basedOn w:val="11"/>
    <w:qFormat/>
    <w:uiPriority w:val="21"/>
    <w:rPr>
      <w:i/>
      <w:iCs/>
      <w:color w:val="2E75B6" w:themeColor="accent1" w:themeShade="BF"/>
    </w:rPr>
  </w:style>
  <w:style w:type="paragraph" w:styleId="174">
    <w:name w:val="Intense Quote"/>
    <w:basedOn w:val="1"/>
    <w:next w:val="1"/>
    <w:link w:val="175"/>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5">
    <w:name w:val="Citação Intensa Char"/>
    <w:basedOn w:val="11"/>
    <w:link w:val="174"/>
    <w:uiPriority w:val="30"/>
    <w:rPr>
      <w:rFonts w:ascii="Calibri" w:hAnsi="Calibri" w:eastAsia="Calibri" w:cs="Calibri"/>
      <w:i/>
      <w:iCs/>
      <w:color w:val="2E75B6" w:themeColor="accent1" w:themeShade="BF"/>
      <w:lang w:val="pt-PT"/>
    </w:rPr>
  </w:style>
  <w:style w:type="character" w:customStyle="1" w:styleId="176">
    <w:name w:val="Intense Reference"/>
    <w:basedOn w:val="11"/>
    <w:qFormat/>
    <w:uiPriority w:val="32"/>
    <w:rPr>
      <w:b/>
      <w:bCs/>
      <w:smallCaps/>
      <w:color w:val="2E75B6" w:themeColor="accent1" w:themeShade="BF"/>
      <w:spacing w:val="5"/>
    </w:rPr>
  </w:style>
  <w:style w:type="paragraph" w:customStyle="1" w:styleId="177">
    <w:name w:val="texto_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78">
    <w:name w:val="fontstyle01"/>
    <w:qFormat/>
    <w:uiPriority w:val="0"/>
    <w:rPr>
      <w:rFonts w:hint="default" w:ascii="Rawline-Regular" w:hAnsi="Rawline-Regular"/>
      <w:color w:val="555555"/>
      <w:sz w:val="22"/>
      <w:szCs w:val="22"/>
    </w:rPr>
  </w:style>
  <w:style w:type="paragraph" w:customStyle="1" w:styleId="179">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ng-star-inserted"/>
    <w:qFormat/>
    <w:uiPriority w:val="0"/>
  </w:style>
  <w:style w:type="character" w:customStyle="1" w:styleId="181">
    <w:name w:val="sr-only"/>
    <w:qFormat/>
    <w:uiPriority w:val="0"/>
  </w:style>
  <w:style w:type="character" w:customStyle="1" w:styleId="182">
    <w:name w:val="WW8Num10z0"/>
    <w:qFormat/>
    <w:uiPriority w:val="0"/>
    <w:rPr>
      <w:rFonts w:hint="default"/>
      <w:color w:val="000000"/>
    </w:rPr>
  </w:style>
  <w:style w:type="table" w:customStyle="1" w:styleId="183">
    <w:name w:val="Table Normal1"/>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184">
    <w:name w:val="blocks_popover_button"/>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8CCB7-9F67-4F7E-A7B2-023A7E8220AC}">
  <ds:schemaRefs/>
</ds:datastoreItem>
</file>

<file path=docProps/app.xml><?xml version="1.0" encoding="utf-8"?>
<Properties xmlns="http://schemas.openxmlformats.org/officeDocument/2006/extended-properties" xmlns:vt="http://schemas.openxmlformats.org/officeDocument/2006/docPropsVTypes">
  <Template>Normal</Template>
  <Pages>87</Pages>
  <Words>3443</Words>
  <Characters>19465</Characters>
  <Lines>1244</Lines>
  <Paragraphs>353</Paragraphs>
  <TotalTime>34</TotalTime>
  <ScaleCrop>false</ScaleCrop>
  <LinksUpToDate>false</LinksUpToDate>
  <CharactersWithSpaces>22767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2026-04-22T13:45:00Z</dcterms:created>
  <dc:creator>Danilo Borges Ribeiro</dc:creator>
  <cp:lastModifiedBy>barbara.lopo</cp:lastModifiedBy>
  <cp:lastPrinted>2026-05-25T14:57:00Z</cp:lastPrinted>
  <dcterms:modified xsi:type="dcterms:W3CDTF">2026-06-11T14:02:32Z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1046-12.1.0.26880</vt:lpwstr>
  </property>
  <property fmtid="{D5CDD505-2E9C-101B-9397-08002B2CF9AE}" pid="3" name="ICV">
    <vt:lpwstr>EC31572C283B45B78FD440022E9A4088_13</vt:lpwstr>
  </property>
  <property fmtid="{D5CDD505-2E9C-101B-9397-08002B2CF9AE}" pid="4" name="KSOTemplateDocerSaveRecord">
    <vt:lpwstr>eyJoZGlkIjoiOTI4ZTgwYjJkOWIwZGQ1ZDg5MmRkMDQ0Y2JkYjhlYzEifQ==</vt:lpwstr>
  </property>
</Properties>
</file>